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1.艾宾浩斯发现，从难度上讲，背诵无意义音节要比有意义音节(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A.容易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pt">
                  <v:imagedata r:id="rId4" o:title=""/>
                </v:shape>
              </w:pict>
            </w:r>
            <w:r>
              <w:pict>
                <v:shape id="_x0000_i1026" type="#_x0000_t75" style="height:9pt;width:94.51pt">
                  <v:imagedata r:id="rId5" o:title=""/>
                </v:shape>
              </w:pict>
            </w:r>
            <w:r>
              <w:t>11.63%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B.差不多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C.难得多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86.26pt">
                  <v:imagedata r:id="rId7" o:title=""/>
                </v:shape>
              </w:pict>
            </w:r>
            <w:r>
              <w:pict>
                <v:shape id="_x0000_i1029" type="#_x0000_t75" style="height:9pt;width:20.25pt">
                  <v:imagedata r:id="rId8" o:title=""/>
                </v:shape>
              </w:pict>
            </w:r>
            <w:r>
              <w:t>81.4%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D.两者不可比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6.75pt">
                  <v:imagedata r:id="rId9" o:title=""/>
                </v:shape>
              </w:pict>
            </w:r>
            <w:r>
              <w:pict>
                <v:shape id="_x0000_i1031" type="#_x0000_t75" style="height:9pt;width:99.76pt">
                  <v:imagedata r:id="rId10" o:title=""/>
                </v:shape>
              </w:pict>
            </w:r>
            <w:r>
              <w:t>6.98%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2.机械学习与接受学习两个概念之间的关系是(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A.没关系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.25pt">
                  <v:imagedata r:id="rId11" o:title=""/>
                </v:shape>
              </w:pict>
            </w:r>
            <w:r>
              <w:pict>
                <v:shape id="_x0000_i1033" type="#_x0000_t75" style="height:9pt;width:104.26pt">
                  <v:imagedata r:id="rId12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B.接受学习可能是机械学习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86.26pt">
                  <v:imagedata r:id="rId7" o:title=""/>
                </v:shape>
              </w:pict>
            </w:r>
            <w:r>
              <w:pict>
                <v:shape id="_x0000_i1035" type="#_x0000_t75" style="height:9pt;width:20.25pt">
                  <v:imagedata r:id="rId8" o:title=""/>
                </v:shape>
              </w:pict>
            </w:r>
            <w:r>
              <w:t>81.4%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C.接受学习一定是机械学习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.5pt">
                  <v:imagedata r:id="rId13" o:title=""/>
                </v:shape>
              </w:pict>
            </w:r>
            <w:r>
              <w:pict>
                <v:shape id="_x0000_i1037" type="#_x0000_t75" style="height:9pt;width:102.01pt">
                  <v:imagedata r:id="rId14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D.接受学习不可能是机械学习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2pt">
                  <v:imagedata r:id="rId4" o:title=""/>
                </v:shape>
              </w:pict>
            </w:r>
            <w:r>
              <w:pict>
                <v:shape id="_x0000_i1039" type="#_x0000_t75" style="height:9pt;width:94.51pt">
                  <v:imagedata r:id="rId5" o:title=""/>
                </v:shape>
              </w:pict>
            </w:r>
            <w:r>
              <w:t>11.63%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3.以下不属于科尔伯格道德发展阶段的是(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A.前习俗水平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6.75pt">
                  <v:imagedata r:id="rId9" o:title=""/>
                </v:shape>
              </w:pict>
            </w:r>
            <w:r>
              <w:pict>
                <v:shape id="_x0000_i1041" type="#_x0000_t75" style="height:9pt;width:99.76pt">
                  <v:imagedata r:id="rId10" o:title=""/>
                </v:shape>
              </w:pict>
            </w:r>
            <w:r>
              <w:t>6.98%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B.习俗水平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4.5pt">
                  <v:imagedata r:id="rId13" o:title=""/>
                </v:shape>
              </w:pict>
            </w:r>
            <w:r>
              <w:pict>
                <v:shape id="_x0000_i1043" type="#_x0000_t75" style="height:9pt;width:102.01pt">
                  <v:imagedata r:id="rId14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C.等习俗水平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88.51pt">
                  <v:imagedata r:id="rId15" o:title=""/>
                </v:shape>
              </w:pict>
            </w:r>
            <w:r>
              <w:pict>
                <v:shape id="_x0000_i1045" type="#_x0000_t75" style="height:9pt;width:18pt">
                  <v:imagedata r:id="rId16" o:title=""/>
                </v:shape>
              </w:pict>
            </w:r>
            <w:r>
              <w:t>83.72%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D.后习俗水平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.5pt">
                  <v:imagedata r:id="rId13" o:title=""/>
                </v:shape>
              </w:pict>
            </w:r>
            <w:r>
              <w:pict>
                <v:shape id="_x0000_i1047" type="#_x0000_t75" style="height:9pt;width:102.01pt">
                  <v:imagedata r:id="rId14" o:title=""/>
                </v:shape>
              </w:pict>
            </w:r>
            <w:r>
              <w:t>4.65%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83.72%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4.李吉林创立的( )在理论上形成了“形真”“情切”“意远”“理寓其中”四个基本特征。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A.情景教育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9.26pt">
                  <v:imagedata r:id="rId17" o:title=""/>
                </v:shape>
              </w:pict>
            </w:r>
            <w:r>
              <w:pict>
                <v:shape id="_x0000_i1049" type="#_x0000_t75" style="height:9pt;width:47.26pt">
                  <v:imagedata r:id="rId18" o:title=""/>
                </v:shape>
              </w:pict>
            </w:r>
            <w:r>
              <w:t>55.81%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B.情智教育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.25pt">
                  <v:imagedata r:id="rId11" o:title=""/>
                </v:shape>
              </w:pict>
            </w:r>
            <w:r>
              <w:pict>
                <v:shape id="_x0000_i1051" type="#_x0000_t75" style="height:9pt;width:104.26pt">
                  <v:imagedata r:id="rId12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C.情理教育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.75pt">
                  <v:imagedata r:id="rId19" o:title=""/>
                </v:shape>
              </w:pict>
            </w:r>
            <w:r>
              <w:pict>
                <v:shape id="_x0000_i1053" type="#_x0000_t75" style="height:9pt;width:96.76pt">
                  <v:imagedata r:id="rId20" o:title=""/>
                </v:shape>
              </w:pict>
            </w:r>
            <w:r>
              <w:t>9.3%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D.情意教育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4.5pt">
                  <v:imagedata r:id="rId21" o:title=""/>
                </v:shape>
              </w:pict>
            </w:r>
            <w:r>
              <w:pict>
                <v:shape id="_x0000_i1055" type="#_x0000_t75" style="height:9pt;width:72.01pt">
                  <v:imagedata r:id="rId22" o:title=""/>
                </v:shape>
              </w:pict>
            </w:r>
            <w:r>
              <w:t>32.56%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55.81%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5.下列哪一项属于班主任的三种领导方式之一?(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A.仁爱型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11" o:title=""/>
                </v:shape>
              </w:pict>
            </w:r>
            <w:r>
              <w:pict>
                <v:shape id="_x0000_i1057" type="#_x0000_t75" style="height:9pt;width:104.26pt">
                  <v:imagedata r:id="rId12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B.仁慈型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.25pt">
                  <v:imagedata r:id="rId11" o:title=""/>
                </v:shape>
              </w:pict>
            </w:r>
            <w:r>
              <w:pict>
                <v:shape id="_x0000_i1059" type="#_x0000_t75" style="height:9pt;width:104.26pt">
                  <v:imagedata r:id="rId12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C.仁爱专制型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9.75pt">
                  <v:imagedata r:id="rId19" o:title=""/>
                </v:shape>
              </w:pict>
            </w:r>
            <w:r>
              <w:pict>
                <v:shape id="_x0000_i1061" type="#_x0000_t75" style="height:9pt;width:96.76pt">
                  <v:imagedata r:id="rId20" o:title=""/>
                </v:shape>
              </w:pict>
            </w:r>
            <w:r>
              <w:t>9.3%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D.民主型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91.51pt">
                  <v:imagedata r:id="rId23" o:title=""/>
                </v:shape>
              </w:pict>
            </w:r>
            <w:r>
              <w:pict>
                <v:shape id="_x0000_i1063" type="#_x0000_t75" style="height:9pt;width:15pt">
                  <v:imagedata r:id="rId24" o:title=""/>
                </v:shape>
              </w:pict>
            </w:r>
            <w:r>
              <w:t>86.05%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86.05%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