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3月25日每日一练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1.智力的性别差异的研究结果表明，男女智力的总体水平是(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A.女优于男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8.25pt">
                  <v:imagedata r:id="rId4" o:title=""/>
                </v:shape>
              </w:pict>
            </w:r>
            <w:r>
              <w:pict>
                <v:shape id="_x0000_i1026" type="#_x0000_t75" style="height:9pt;width:98.26pt">
                  <v:imagedata r:id="rId5" o:title=""/>
                </v:shape>
              </w:pict>
            </w:r>
            <w:r>
              <w:t>7.94%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B.大致相等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70.51pt">
                  <v:imagedata r:id="rId6" o:title=""/>
                </v:shape>
              </w:pict>
            </w:r>
            <w:r>
              <w:pict>
                <v:shape id="_x0000_i1028" type="#_x0000_t75" style="height:9pt;width:36.01pt">
                  <v:imagedata r:id="rId7" o:title=""/>
                </v:shape>
              </w:pict>
            </w:r>
            <w:r>
              <w:t>66.67%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C.男优于女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27pt">
                  <v:imagedata r:id="rId8" o:title=""/>
                </v:shape>
              </w:pict>
            </w:r>
            <w:r>
              <w:pict>
                <v:shape id="_x0000_i1030" type="#_x0000_t75" style="height:9pt;width:79.51pt">
                  <v:imagedata r:id="rId9" o:title=""/>
                </v:shape>
              </w:pict>
            </w:r>
            <w:r>
              <w:t>25.4%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D.中国人相等，外国人不相等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66.67%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2.在知识的学习过程中，掌握同类事物的共同的关键特征和本质特征属于(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A.概念学习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89.26pt">
                  <v:imagedata r:id="rId11" o:title=""/>
                </v:shape>
              </w:pict>
            </w:r>
            <w:r>
              <w:pict>
                <v:shape id="_x0000_i1033" type="#_x0000_t75" style="height:9pt;width:17.25pt">
                  <v:imagedata r:id="rId12" o:title=""/>
                </v:shape>
              </w:pict>
            </w:r>
            <w:r>
              <w:t>84.13%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B.意义学习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6.75pt">
                  <v:imagedata r:id="rId13" o:title=""/>
                </v:shape>
              </w:pict>
            </w:r>
            <w:r>
              <w:pict>
                <v:shape id="_x0000_i1035" type="#_x0000_t75" style="height:9pt;width:99.76pt">
                  <v:imagedata r:id="rId14" o:title=""/>
                </v:shape>
              </w:pict>
            </w:r>
            <w:r>
              <w:t>6.35%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C.命题学习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8.25pt">
                  <v:imagedata r:id="rId4" o:title=""/>
                </v:shape>
              </w:pict>
            </w:r>
            <w:r>
              <w:pict>
                <v:shape id="_x0000_i1037" type="#_x0000_t75" style="height:9pt;width:98.26pt">
                  <v:imagedata r:id="rId5" o:title=""/>
                </v:shape>
              </w:pict>
            </w:r>
            <w:r>
              <w:t>7.94%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D.符号学习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.5pt">
                  <v:imagedata r:id="rId15" o:title=""/>
                </v:shape>
              </w:pict>
            </w:r>
            <w:r>
              <w:pict>
                <v:shape id="_x0000_i1039" type="#_x0000_t75" style="height:9pt;width:105.01pt">
                  <v:imagedata r:id="rId16" o:title=""/>
                </v:shape>
              </w:pict>
            </w:r>
            <w:r>
              <w:t>1.59%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84.13%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3.艾宾浩斯遗忘曲线说明遗忘的规律是(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A.均衡发展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B.先慢后快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3pt">
                  <v:imagedata r:id="rId17" o:title=""/>
                </v:shape>
              </w:pict>
            </w:r>
            <w:r>
              <w:pict>
                <v:shape id="_x0000_i1042" type="#_x0000_t75" style="height:9pt;width:103.51pt">
                  <v:imagedata r:id="rId18" o:title=""/>
                </v:shape>
              </w:pict>
            </w:r>
            <w:r>
              <w:t>3.17%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C.先快后慢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97.51pt">
                  <v:imagedata r:id="rId19" o:title=""/>
                </v:shape>
              </w:pict>
            </w:r>
            <w:r>
              <w:pict>
                <v:shape id="_x0000_i1044" type="#_x0000_t75" style="height:9pt;width:9pt">
                  <v:imagedata r:id="rId20" o:title=""/>
                </v:shape>
              </w:pict>
            </w:r>
            <w:r>
              <w:t>92.06%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D.先慢后快又慢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4.5pt">
                  <v:imagedata r:id="rId21" o:title=""/>
                </v:shape>
              </w:pict>
            </w:r>
            <w:r>
              <w:pict>
                <v:shape id="_x0000_i1046" type="#_x0000_t75" style="height:9pt;width:102.01pt">
                  <v:imagedata r:id="rId22" o:title=""/>
                </v:shape>
              </w:pict>
            </w:r>
            <w:r>
              <w:t>4.76%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92.06%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4.人和动物一旦学会对某一特定的条件刺激做出条件反应之后，其他与该条件相类似的刺激也会诱发其条件反应。这是条件刺激的(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A.一般化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3pt">
                  <v:imagedata r:id="rId17" o:title=""/>
                </v:shape>
              </w:pict>
            </w:r>
            <w:r>
              <w:pict>
                <v:shape id="_x0000_i1048" type="#_x0000_t75" style="height:9pt;width:103.51pt">
                  <v:imagedata r:id="rId18" o:title=""/>
                </v:shape>
              </w:pict>
            </w:r>
            <w:r>
              <w:t>3.17%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B.具体化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4.5pt">
                  <v:imagedata r:id="rId21" o:title=""/>
                </v:shape>
              </w:pict>
            </w:r>
            <w:r>
              <w:pict>
                <v:shape id="_x0000_i1050" type="#_x0000_t75" style="height:9pt;width:102.01pt">
                  <v:imagedata r:id="rId22" o:title=""/>
                </v:shape>
              </w:pict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C.分化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4.5pt">
                  <v:imagedata r:id="rId21" o:title=""/>
                </v:shape>
              </w:pict>
            </w:r>
            <w:r>
              <w:pict>
                <v:shape id="_x0000_i1052" type="#_x0000_t75" style="height:9pt;width:102.01pt">
                  <v:imagedata r:id="rId22" o:title=""/>
                </v:shape>
              </w:pict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D.泛化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92.26pt">
                  <v:imagedata r:id="rId23" o:title=""/>
                </v:shape>
              </w:pict>
            </w:r>
            <w:r>
              <w:pict>
                <v:shape id="_x0000_i1054" type="#_x0000_t75" style="height:9pt;width:14.25pt">
                  <v:imagedata r:id="rId24" o:title=""/>
                </v:shape>
              </w:pict>
            </w:r>
            <w:r>
              <w:t>87.3%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87.3%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5.在操作技能形成的哪个阶段，动觉控制起主导作用(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A.操作模仿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28.5pt">
                  <v:imagedata r:id="rId25" o:title=""/>
                </v:shape>
              </w:pict>
            </w:r>
            <w:r>
              <w:pict>
                <v:shape id="_x0000_i1056" type="#_x0000_t75" style="height:9pt;width:78.01pt">
                  <v:imagedata r:id="rId26" o:title=""/>
                </v:shape>
              </w:pict>
            </w:r>
            <w:r>
              <w:t>26.98%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B.操作整合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6.5pt">
                  <v:imagedata r:id="rId27" o:title=""/>
                </v:shape>
              </w:pict>
            </w:r>
            <w:r>
              <w:pict>
                <v:shape id="_x0000_i1058" type="#_x0000_t75" style="height:9pt;width:90.01pt">
                  <v:imagedata r:id="rId28" o:title=""/>
                </v:shape>
              </w:pict>
            </w:r>
            <w:r>
              <w:t>15.87%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C.操作熟练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54.01pt">
                  <v:imagedata r:id="rId29" o:title=""/>
                </v:shape>
              </w:pict>
            </w:r>
            <w:r>
              <w:pict>
                <v:shape id="_x0000_i1060" type="#_x0000_t75" style="height:9pt;width:52.51pt">
                  <v:imagedata r:id="rId30" o:title=""/>
                </v:shape>
              </w:pict>
            </w:r>
            <w:r>
              <w:t>50.79%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D.操作定向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6.75pt">
                  <v:imagedata r:id="rId13" o:title=""/>
                </v:shape>
              </w:pict>
            </w:r>
            <w:r>
              <w:pict>
                <v:shape id="_x0000_i1062" type="#_x0000_t75" style="height:9pt;width:99.76pt">
                  <v:imagedata r:id="rId14" o:title=""/>
                </v:shape>
              </w:pict>
            </w:r>
            <w:r>
              <w:t>6.35%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50.79%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