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3月26日每日一练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1.提出当两种学习的某些方面有相同之处时，才有可能进行迁移的是(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A.形式训练说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.5pt">
                  <v:imagedata r:id="rId4" o:title=""/>
                </v:shape>
              </w:pict>
            </w:r>
            <w:r>
              <w:pict>
                <v:shape id="_x0000_i1026" type="#_x0000_t75" style="height:9pt;width:105.01pt">
                  <v:imagedata r:id="rId5" o:title=""/>
                </v:shape>
              </w:pict>
            </w:r>
            <w:r>
              <w:t>1.72%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B.共同要素说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96.76pt">
                  <v:imagedata r:id="rId6" o:title=""/>
                </v:shape>
              </w:pict>
            </w:r>
            <w:r>
              <w:pict>
                <v:shape id="_x0000_i1028" type="#_x0000_t75" style="height:9pt;width:9.75pt">
                  <v:imagedata r:id="rId7" o:title=""/>
                </v:shape>
              </w:pict>
            </w:r>
            <w:r>
              <w:t>91.38%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C.概括说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pt">
                  <v:imagedata r:id="rId8" o:title=""/>
                </v:shape>
              </w:pict>
            </w:r>
            <w:r>
              <w:pict>
                <v:shape id="_x0000_i1030" type="#_x0000_t75" style="height:9pt;width:103.51pt">
                  <v:imagedata r:id="rId9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D.关系说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pt">
                  <v:imagedata r:id="rId8" o:title=""/>
                </v:shape>
              </w:pict>
            </w:r>
            <w:r>
              <w:pict>
                <v:shape id="_x0000_i1032" type="#_x0000_t75" style="height:9pt;width:103.51pt">
                  <v:imagedata r:id="rId9" o:title=""/>
                </v:shape>
              </w:pict>
            </w:r>
            <w:r>
              <w:t>3.45%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91.38%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2.学习动机的基本结构包括学习需要和(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A.学习期待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80.26pt">
                  <v:imagedata r:id="rId10" o:title=""/>
                </v:shape>
              </w:pict>
            </w:r>
            <w:r>
              <w:pict>
                <v:shape id="_x0000_i1034" type="#_x0000_t75" style="height:9pt;width:26.25pt">
                  <v:imagedata r:id="rId11" o:title=""/>
                </v:shape>
              </w:pict>
            </w:r>
            <w:r>
              <w:t>75.86%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B.学习准备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C.学习效果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.5pt">
                  <v:imagedata r:id="rId4" o:title=""/>
                </v:shape>
              </w:pict>
            </w:r>
            <w:r>
              <w:pict>
                <v:shape id="_x0000_i1037" type="#_x0000_t75" style="height:9pt;width:105.01pt">
                  <v:imagedata r:id="rId5" o:title=""/>
                </v:shape>
              </w:pict>
            </w:r>
            <w:r>
              <w:t>1.72%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D.学习目的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3.25pt">
                  <v:imagedata r:id="rId13" o:title=""/>
                </v:shape>
              </w:pict>
            </w:r>
            <w:r>
              <w:pict>
                <v:shape id="_x0000_i1039" type="#_x0000_t75" style="height:9pt;width:83.26pt">
                  <v:imagedata r:id="rId14" o:title=""/>
                </v:shape>
              </w:pict>
            </w:r>
            <w:r>
              <w:t>22.41%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3.按( )划分，学习动机可分为远景性学习动机和近景性学习动机。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A.动机的动力来源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2.75pt">
                  <v:imagedata r:id="rId15" o:title=""/>
                </v:shape>
              </w:pict>
            </w:r>
            <w:r>
              <w:pict>
                <v:shape id="_x0000_i1041" type="#_x0000_t75" style="height:9pt;width:93.76pt">
                  <v:imagedata r:id="rId16" o:title=""/>
                </v:shape>
              </w:pict>
            </w:r>
            <w:r>
              <w:t>12.07%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B.学习动机内容的社会意义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1.75pt">
                  <v:imagedata r:id="rId17" o:title=""/>
                </v:shape>
              </w:pict>
            </w:r>
            <w:r>
              <w:pict>
                <v:shape id="_x0000_i1043" type="#_x0000_t75" style="height:9pt;width:84.76pt">
                  <v:imagedata r:id="rId18" o:title=""/>
                </v:shape>
              </w:pict>
            </w:r>
            <w:r>
              <w:t>20.69%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C.动机水平的高低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.5pt">
                  <v:imagedata r:id="rId4" o:title=""/>
                </v:shape>
              </w:pict>
            </w:r>
            <w:r>
              <w:pict>
                <v:shape id="_x0000_i1045" type="#_x0000_t75" style="height:9pt;width:105.01pt">
                  <v:imagedata r:id="rId5" o:title=""/>
                </v:shape>
              </w:pict>
            </w:r>
            <w:r>
              <w:t>1.72%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D.动机的远近的作用久暂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69.76pt">
                  <v:imagedata r:id="rId19" o:title=""/>
                </v:shape>
              </w:pict>
            </w:r>
            <w:r>
              <w:pict>
                <v:shape id="_x0000_i1047" type="#_x0000_t75" style="height:9pt;width:36.76pt">
                  <v:imagedata r:id="rId20" o:title=""/>
                </v:shape>
              </w:pict>
            </w:r>
            <w:r>
              <w:t>65.52%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20.69%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4.按照“耶克斯—多德森定律”，学习动机过强或过弱，都会导致学习效率(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A.提高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B.降低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75.01pt">
                  <v:imagedata r:id="rId21" o:title=""/>
                </v:shape>
              </w:pict>
            </w:r>
            <w:r>
              <w:pict>
                <v:shape id="_x0000_i1050" type="#_x0000_t75" style="height:9pt;width:31.5pt">
                  <v:imagedata r:id="rId22" o:title=""/>
                </v:shape>
              </w:pict>
            </w:r>
            <w:r>
              <w:t>70.69%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C.不变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D.变化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0.75pt">
                  <v:imagedata r:id="rId23" o:title=""/>
                </v:shape>
              </w:pict>
            </w:r>
            <w:r>
              <w:pict>
                <v:shape id="_x0000_i1053" type="#_x0000_t75" style="height:9pt;width:75.76pt">
                  <v:imagedata r:id="rId24" o:title=""/>
                </v:shape>
              </w:pict>
            </w:r>
            <w:r>
              <w:t>29.31%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70.69%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5.著名心理学家( )提出自我效能感的概念，即指个体对成功地实施达成特定目标所需要行动过程的能力的预测，感知，信心或信念。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A.麦克利兰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3pt">
                  <v:imagedata r:id="rId8" o:title=""/>
                </v:shape>
              </w:pict>
            </w:r>
            <w:r>
              <w:pict>
                <v:shape id="_x0000_i1055" type="#_x0000_t75" style="height:9pt;width:103.51pt">
                  <v:imagedata r:id="rId9" o:title=""/>
                </v:shape>
              </w:pict>
            </w:r>
            <w:r>
              <w:t>3.45%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B.阿特金森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6.5pt">
                  <v:imagedata r:id="rId25" o:title=""/>
                </v:shape>
              </w:pict>
            </w:r>
            <w:r>
              <w:pict>
                <v:shape id="_x0000_i1057" type="#_x0000_t75" style="height:9pt;width:90.01pt">
                  <v:imagedata r:id="rId26" o:title=""/>
                </v:shape>
              </w:pict>
            </w:r>
            <w:r>
              <w:t>15.52%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C.班杜拉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84.01pt">
                  <v:imagedata r:id="rId27" o:title=""/>
                </v:shape>
              </w:pict>
            </w:r>
            <w:r>
              <w:pict>
                <v:shape id="_x0000_i1059" type="#_x0000_t75" style="height:9pt;width:22.5pt">
                  <v:imagedata r:id="rId28" o:title=""/>
                </v:shape>
              </w:pict>
            </w:r>
            <w:r>
              <w:t>79.31%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D.默里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.5pt">
                  <v:imagedata r:id="rId4" o:title=""/>
                </v:shape>
              </w:pict>
            </w:r>
            <w:r>
              <w:pict>
                <v:shape id="_x0000_i1061" type="#_x0000_t75" style="height:9pt;width:105.01pt">
                  <v:imagedata r:id="rId5" o:title=""/>
                </v:shape>
              </w:pict>
            </w:r>
            <w:r>
              <w:t>1.72%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79.31%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