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1.小雯能够十分迅速地面对、接受、适应现实，对于生活、学习和工作中的各种挑战也能妥善处理。这表明她(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A.自我意识正确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.25pt">
                  <v:imagedata r:id="rId4" o:title=""/>
                </v:shape>
              </w:pict>
            </w:r>
            <w:r>
              <w:pict>
                <v:shape id="_x0000_i1026" type="#_x0000_t75" style="height:9pt;width:101.26pt">
                  <v:imagedata r:id="rId5" o:title=""/>
                </v:shape>
              </w:pict>
            </w:r>
            <w:r>
              <w:t>5.63%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B.人际关系协调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C.人格结构完整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3pt">
                  <v:imagedata r:id="rId7" o:title=""/>
                </v:shape>
              </w:pict>
            </w:r>
            <w:r>
              <w:pict>
                <v:shape id="_x0000_i1029" type="#_x0000_t75" style="height:9pt;width:103.51pt">
                  <v:imagedata r:id="rId8" o:title=""/>
                </v:shape>
              </w:pict>
            </w:r>
            <w:r>
              <w:t>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D.社会适应良好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97.51pt">
                  <v:imagedata r:id="rId9" o:title=""/>
                </v:shape>
              </w:pict>
            </w:r>
            <w:r>
              <w:pict>
                <v:shape id="_x0000_i1031" type="#_x0000_t75" style="height:9pt;width:9pt">
                  <v:imagedata r:id="rId10" o:title=""/>
                </v:shape>
              </w:pict>
            </w:r>
            <w:r>
              <w:t>91.55%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2.教育法律责任主要可分为行政法律责任、民事法律责任和刑事法律责任三种，其中最主要的是(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A.行政法律责任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3.51pt">
                  <v:imagedata r:id="rId11" o:title=""/>
                </v:shape>
              </w:pict>
            </w:r>
            <w:r>
              <w:pict>
                <v:shape id="_x0000_i1033" type="#_x0000_t75" style="height:9pt;width:63.01pt">
                  <v:imagedata r:id="rId12" o:title=""/>
                </v:shape>
              </w:pict>
            </w:r>
            <w:r>
              <w:t>40.85%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B.民事法律责任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4.75pt">
                  <v:imagedata r:id="rId13" o:title=""/>
                </v:shape>
              </w:pict>
            </w:r>
            <w:r>
              <w:pict>
                <v:shape id="_x0000_i1035" type="#_x0000_t75" style="height:9pt;width:81.76pt">
                  <v:imagedata r:id="rId14" o:title=""/>
                </v:shape>
              </w:pict>
            </w:r>
            <w:r>
              <w:t>23.94%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C.刑事法律责任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4.75pt">
                  <v:imagedata r:id="rId13" o:title=""/>
                </v:shape>
              </w:pict>
            </w:r>
            <w:r>
              <w:pict>
                <v:shape id="_x0000_i1037" type="#_x0000_t75" style="height:9pt;width:81.76pt">
                  <v:imagedata r:id="rId14" o:title=""/>
                </v:shape>
              </w:pict>
            </w:r>
            <w:r>
              <w:t>23.94%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D.以上均不是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2pt">
                  <v:imagedata r:id="rId15" o:title=""/>
                </v:shape>
              </w:pict>
            </w:r>
            <w:r>
              <w:pict>
                <v:shape id="_x0000_i1039" type="#_x0000_t75" style="height:9pt;width:94.51pt">
                  <v:imagedata r:id="rId16" o:title=""/>
                </v:shape>
              </w:pict>
            </w:r>
            <w:r>
              <w:t>11.27%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3.中学生刘某上课玩手机，被班主任以保管的名义没收。刘某需要采取的法律救济途径是(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A.复议和仲裁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.5pt">
                  <v:imagedata r:id="rId17" o:title=""/>
                </v:shape>
              </w:pict>
            </w:r>
            <w:r>
              <w:pict>
                <v:shape id="_x0000_i1041" type="#_x0000_t75" style="height:9pt;width:96.01pt">
                  <v:imagedata r:id="rId18" o:title=""/>
                </v:shape>
              </w:pict>
            </w:r>
            <w:r>
              <w:t>9.86%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B.复议和诉讼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.25pt">
                  <v:imagedata r:id="rId4" o:title=""/>
                </v:shape>
              </w:pict>
            </w:r>
            <w:r>
              <w:pict>
                <v:shape id="_x0000_i1043" type="#_x0000_t75" style="height:9pt;width:101.26pt">
                  <v:imagedata r:id="rId5" o:title=""/>
                </v:shape>
              </w:pict>
            </w:r>
            <w:r>
              <w:t>5.63%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C.申诉和诉讼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5.76pt">
                  <v:imagedata r:id="rId19" o:title=""/>
                </v:shape>
              </w:pict>
            </w:r>
            <w:r>
              <w:pict>
                <v:shape id="_x0000_i1045" type="#_x0000_t75" style="height:9pt;width:30.75pt">
                  <v:imagedata r:id="rId20" o:title=""/>
                </v:shape>
              </w:pict>
            </w:r>
            <w:r>
              <w:t>71.83%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D.申诉和仲裁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3.5pt">
                  <v:imagedata r:id="rId21" o:title=""/>
                </v:shape>
              </w:pict>
            </w:r>
            <w:r>
              <w:pict>
                <v:shape id="_x0000_i1047" type="#_x0000_t75" style="height:9pt;width:93.01pt">
                  <v:imagedata r:id="rId22" o:title=""/>
                </v:shape>
              </w:pict>
            </w:r>
            <w:r>
              <w:t>12.68%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4.关于我国教育法规与教育政策本质上的对比，下列说法错误的是(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A.两者的基本属性相同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6.26pt">
                  <v:imagedata r:id="rId23" o:title=""/>
                </v:shape>
              </w:pict>
            </w:r>
            <w:r>
              <w:pict>
                <v:shape id="_x0000_i1049" type="#_x0000_t75" style="height:9pt;width:50.26pt">
                  <v:imagedata r:id="rId24" o:title=""/>
                </v:shape>
              </w:pict>
            </w:r>
            <w:r>
              <w:t>53.52%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B.两者的实施方式和约束力不同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4.25pt">
                  <v:imagedata r:id="rId25" o:title=""/>
                </v:shape>
              </w:pict>
            </w:r>
            <w:r>
              <w:pict>
                <v:shape id="_x0000_i1051" type="#_x0000_t75" style="height:9pt;width:92.26pt">
                  <v:imagedata r:id="rId26" o:title=""/>
                </v:shape>
              </w:pict>
            </w:r>
            <w:r>
              <w:t>14.08%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C.两者都属于社会主义上层建筑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4.75pt">
                  <v:imagedata r:id="rId13" o:title=""/>
                </v:shape>
              </w:pict>
            </w:r>
            <w:r>
              <w:pict>
                <v:shape id="_x0000_i1053" type="#_x0000_t75" style="height:9pt;width:81.76pt">
                  <v:imagedata r:id="rId14" o:title=""/>
                </v:shape>
              </w:pict>
            </w:r>
            <w:r>
              <w:t>23.94%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D.两者都是党和国家管理教育的重要手段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.25pt">
                  <v:imagedata r:id="rId27" o:title=""/>
                </v:shape>
              </w:pict>
            </w:r>
            <w:r>
              <w:pict>
                <v:shape id="_x0000_i1055" type="#_x0000_t75" style="height:9pt;width:98.26pt">
                  <v:imagedata r:id="rId28" o:title=""/>
                </v:shape>
              </w:pict>
            </w:r>
            <w:r>
              <w:t>8.45%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53.52%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5.《中华人民共和国义务教育法》属于(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A.教育基本法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7.26pt">
                  <v:imagedata r:id="rId29" o:title=""/>
                </v:shape>
              </w:pict>
            </w:r>
            <w:r>
              <w:pict>
                <v:shape id="_x0000_i1057" type="#_x0000_t75" style="height:9pt;width:59.26pt">
                  <v:imagedata r:id="rId30" o:title=""/>
                </v:shape>
              </w:pict>
            </w:r>
            <w:r>
              <w:t>45.07%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B.教育单行法律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5.25pt">
                  <v:imagedata r:id="rId31" o:title=""/>
                </v:shape>
              </w:pict>
            </w:r>
            <w:r>
              <w:pict>
                <v:shape id="_x0000_i1059" type="#_x0000_t75" style="height:9pt;width:71.26pt">
                  <v:imagedata r:id="rId32" o:title=""/>
                </v:shape>
              </w:pict>
            </w:r>
            <w:r>
              <w:t>33.8%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C.教育行政法规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9.5pt">
                  <v:imagedata r:id="rId33" o:title=""/>
                </v:shape>
              </w:pict>
            </w:r>
            <w:r>
              <w:pict>
                <v:shape id="_x0000_i1061" type="#_x0000_t75" style="height:9pt;width:87.01pt">
                  <v:imagedata r:id="rId34" o:title=""/>
                </v:shape>
              </w:pict>
            </w:r>
            <w:r>
              <w:t>18.31%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D.教育规章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3pt">
                  <v:imagedata r:id="rId7" o:title=""/>
                </v:shape>
              </w:pict>
            </w:r>
            <w:r>
              <w:pict>
                <v:shape id="_x0000_i1063" type="#_x0000_t75" style="height:9pt;width:103.51pt">
                  <v:imagedata r:id="rId8" o:title=""/>
                </v:shape>
              </w:pict>
            </w:r>
            <w:r>
              <w:t>2.82%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