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4月16日每日一练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1.孔子说的“不愤不启，不悱不发”是指在教学中应(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A.理论联系实际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B.及时巩固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2.25pt">
                  <v:imagedata r:id="rId5" o:title=""/>
                </v:shape>
              </w:pict>
            </w:r>
            <w:r>
              <w:pict>
                <v:shape id="_x0000_i1027" type="#_x0000_t75" style="height:9pt;width:104.26pt">
                  <v:imagedata r:id="rId6" o:title=""/>
                </v:shape>
              </w:pict>
            </w:r>
            <w:r>
              <w:t>2.7%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C.因材施教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14.25pt">
                  <v:imagedata r:id="rId7" o:title=""/>
                </v:shape>
              </w:pict>
            </w:r>
            <w:r>
              <w:pict>
                <v:shape id="_x0000_i1029" type="#_x0000_t75" style="height:9pt;width:92.26pt">
                  <v:imagedata r:id="rId8" o:title=""/>
                </v:shape>
              </w:pict>
            </w:r>
            <w:r>
              <w:t>13.51%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D.启发式教学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88.51pt">
                  <v:imagedata r:id="rId9" o:title=""/>
                </v:shape>
              </w:pict>
            </w:r>
            <w:r>
              <w:pict>
                <v:shape id="_x0000_i1031" type="#_x0000_t75" style="height:9pt;width:18pt">
                  <v:imagedata r:id="rId10" o:title=""/>
                </v:shape>
              </w:pict>
            </w:r>
            <w:r>
              <w:t>83.78%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83.78%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2.中国古代思想家( )说:“得天下英才而教育之，三乐也”。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A.孔子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36.76pt">
                  <v:imagedata r:id="rId11" o:title=""/>
                </v:shape>
              </w:pict>
            </w:r>
            <w:r>
              <w:pict>
                <v:shape id="_x0000_i1033" type="#_x0000_t75" style="height:9pt;width:69.76pt">
                  <v:imagedata r:id="rId12" o:title=""/>
                </v:shape>
              </w:pict>
            </w:r>
            <w:r>
              <w:t>35.14%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B.孟子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69.01pt">
                  <v:imagedata r:id="rId13" o:title=""/>
                </v:shape>
              </w:pict>
            </w:r>
            <w:r>
              <w:pict>
                <v:shape id="_x0000_i1035" type="#_x0000_t75" style="height:9pt;width:37.51pt">
                  <v:imagedata r:id="rId14" o:title=""/>
                </v:shape>
              </w:pict>
            </w:r>
            <w:r>
              <w:t>64.86%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C.荀子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D.老子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64.86%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3.人皆可以为尧舜，教育就是修养、启发、唤醒、引导人的善性，以此论断为理论依据的教育论是(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A.内发论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22.5pt">
                  <v:imagedata r:id="rId15" o:title=""/>
                </v:shape>
              </w:pict>
            </w:r>
            <w:r>
              <w:pict>
                <v:shape id="_x0000_i1039" type="#_x0000_t75" style="height:9pt;width:84.01pt">
                  <v:imagedata r:id="rId16" o:title=""/>
                </v:shape>
              </w:pict>
            </w:r>
            <w:r>
              <w:t>21.62%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B.外铄论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28.5pt">
                  <v:imagedata r:id="rId17" o:title=""/>
                </v:shape>
              </w:pict>
            </w:r>
            <w:r>
              <w:pict>
                <v:shape id="_x0000_i1041" type="#_x0000_t75" style="height:9pt;width:78.01pt">
                  <v:imagedata r:id="rId18" o:title=""/>
                </v:shape>
              </w:pict>
            </w:r>
            <w:r>
              <w:t>27.03%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C.性善论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54.01pt">
                  <v:imagedata r:id="rId19" o:title=""/>
                </v:shape>
              </w:pict>
            </w:r>
            <w:r>
              <w:pict>
                <v:shape id="_x0000_i1043" type="#_x0000_t75" style="height:9pt;width:52.51pt">
                  <v:imagedata r:id="rId20" o:title=""/>
                </v:shape>
              </w:pict>
            </w:r>
            <w:r>
              <w:t>51.35%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D.性恶论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51.35%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4.下列选项中不属于孟子思想的一项是(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A.富贵不能淫，贫贱不能移，威武不能屈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5.25pt">
                  <v:imagedata r:id="rId21" o:title=""/>
                </v:shape>
              </w:pict>
            </w:r>
            <w:r>
              <w:pict>
                <v:shape id="_x0000_i1046" type="#_x0000_t75" style="height:9pt;width:101.26pt">
                  <v:imagedata r:id="rId22" o:title=""/>
                </v:shape>
              </w:pict>
            </w:r>
            <w:r>
              <w:t>5.41%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B.一日暴之，十日寒之，未有能生者也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1.25pt">
                  <v:imagedata r:id="rId23" o:title=""/>
                </v:shape>
              </w:pict>
            </w:r>
            <w:r>
              <w:pict>
                <v:shape id="_x0000_i1048" type="#_x0000_t75" style="height:9pt;width:95.26pt">
                  <v:imagedata r:id="rId24" o:title=""/>
                </v:shape>
              </w:pict>
            </w:r>
            <w:r>
              <w:t>10.81%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C.人伦明于上，小民亲于下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9.5pt">
                  <v:imagedata r:id="rId25" o:title=""/>
                </v:shape>
              </w:pict>
            </w:r>
            <w:r>
              <w:pict>
                <v:shape id="_x0000_i1050" type="#_x0000_t75" style="height:9pt;width:87.01pt">
                  <v:imagedata r:id="rId26" o:title=""/>
                </v:shape>
              </w:pict>
            </w:r>
            <w:r>
              <w:t>18.92%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D.知之者不如好之者，好之者不如乐之者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69.01pt">
                  <v:imagedata r:id="rId13" o:title=""/>
                </v:shape>
              </w:pict>
            </w:r>
            <w:r>
              <w:pict>
                <v:shape id="_x0000_i1052" type="#_x0000_t75" style="height:9pt;width:37.51pt">
                  <v:imagedata r:id="rId14" o:title=""/>
                </v:shape>
              </w:pict>
            </w:r>
            <w:r>
              <w:t>64.86%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64.86%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5.“人之性恶，其善者伪也”，性恶说代表是(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A.孟子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8.25pt">
                  <v:imagedata r:id="rId27" o:title=""/>
                </v:shape>
              </w:pict>
            </w:r>
            <w:r>
              <w:pict>
                <v:shape id="_x0000_i1054" type="#_x0000_t75" style="height:9pt;width:98.26pt">
                  <v:imagedata r:id="rId28" o:title=""/>
                </v:shape>
              </w:pict>
            </w:r>
            <w:r>
              <w:t>8.11%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B.孔子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2.25pt">
                  <v:imagedata r:id="rId5" o:title=""/>
                </v:shape>
              </w:pict>
            </w:r>
            <w:r>
              <w:pict>
                <v:shape id="_x0000_i1056" type="#_x0000_t75" style="height:9pt;width:104.26pt">
                  <v:imagedata r:id="rId6" o:title=""/>
                </v:shape>
              </w:pict>
            </w:r>
            <w:r>
              <w:t>2.7%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C.荀子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91.51pt">
                  <v:imagedata r:id="rId29" o:title=""/>
                </v:shape>
              </w:pict>
            </w:r>
            <w:r>
              <w:pict>
                <v:shape id="_x0000_i1058" type="#_x0000_t75" style="height:9pt;width:15pt">
                  <v:imagedata r:id="rId30" o:title=""/>
                </v:shape>
              </w:pict>
            </w:r>
            <w:r>
              <w:t>86.49%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D.庄子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2.25pt">
                  <v:imagedata r:id="rId5" o:title=""/>
                </v:shape>
              </w:pict>
            </w:r>
            <w:r>
              <w:pict>
                <v:shape id="_x0000_i1060" type="#_x0000_t75" style="height:9pt;width:104.26pt">
                  <v:imagedata r:id="rId6" o:title=""/>
                </v:shape>
              </w:pict>
            </w:r>
            <w:r>
              <w:t>2.7%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86.49%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