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1.一个孩子出现打人行为，因此父母规定他一个星期不准玩电脑，这种做法属于(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A.消退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B.惩罚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78.01pt">
                  <v:imagedata r:id="rId5" o:title=""/>
                </v:shape>
              </w:pict>
            </w:r>
            <w:r>
              <w:pict>
                <v:shape id="_x0000_i1027" type="#_x0000_t75" style="height:9pt;width:28.5pt">
                  <v:imagedata r:id="rId6" o:title=""/>
                </v:shape>
              </w:pict>
            </w:r>
            <w:r>
              <w:t>73.68%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C.负强化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21.75pt">
                  <v:imagedata r:id="rId7" o:title=""/>
                </v:shape>
              </w:pict>
            </w:r>
            <w:r>
              <w:pict>
                <v:shape id="_x0000_i1029" type="#_x0000_t75" style="height:9pt;width:84.76pt">
                  <v:imagedata r:id="rId8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D.逃避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.25pt">
                  <v:imagedata r:id="rId9" o:title=""/>
                </v:shape>
              </w:pict>
            </w:r>
            <w:r>
              <w:pict>
                <v:shape id="_x0000_i1031" type="#_x0000_t75" style="height:9pt;width:101.26pt">
                  <v:imagedata r:id="rId10" o:title=""/>
                </v:shape>
              </w:pict>
            </w:r>
            <w:r>
              <w:t>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2.离下课还有10分钟，这时候一些小朋友的注意力开始涣散，老师说，如果大家认真听课，下课了我就带大家玩游戏，学生开始认真听课了，老师采取的措施是(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11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3.学生对自己说“如果我能在这次月考中考进全校前十名，我就奖励自己去买一件衣服”，这属于(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A.自我强化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89.26pt">
                  <v:imagedata r:id="rId12" o:title=""/>
                </v:shape>
              </w:pict>
            </w:r>
            <w:r>
              <w:pict>
                <v:shape id="_x0000_i1037" type="#_x0000_t75" style="height:9pt;width:17.25pt">
                  <v:imagedata r:id="rId13" o:title=""/>
                </v:shape>
              </w:pict>
            </w:r>
            <w:r>
              <w:t>84.21%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B.直接强化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.25pt">
                  <v:imagedata r:id="rId9" o:title=""/>
                </v:shape>
              </w:pict>
            </w:r>
            <w:r>
              <w:pict>
                <v:shape id="_x0000_i1039" type="#_x0000_t75" style="height:9pt;width:101.26pt">
                  <v:imagedata r:id="rId10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C.替代强化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.5pt">
                  <v:imagedata r:id="rId14" o:title=""/>
                </v:shape>
              </w:pict>
            </w:r>
            <w:r>
              <w:pict>
                <v:shape id="_x0000_i1041" type="#_x0000_t75" style="height:9pt;width:96.01pt">
                  <v:imagedata r:id="rId1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D.负强化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4.“杀鸡儆猴”属于(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A.替代性强化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5.26pt">
                  <v:imagedata r:id="rId16" o:title=""/>
                </v:shape>
              </w:pict>
            </w:r>
            <w:r>
              <w:pict>
                <v:shape id="_x0000_i1044" type="#_x0000_t75" style="height:9pt;width:11.25pt">
                  <v:imagedata r:id="rId17" o:title=""/>
                </v:shape>
              </w:pict>
            </w:r>
            <w:r>
              <w:t>89.47%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B.直接强化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.5pt">
                  <v:imagedata r:id="rId14" o:title=""/>
                </v:shape>
              </w:pict>
            </w:r>
            <w:r>
              <w:pict>
                <v:shape id="_x0000_i1046" type="#_x0000_t75" style="height:9pt;width:96.01pt">
                  <v:imagedata r:id="rId1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D.正强化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5.提出认知地图理论的心理学家是(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A.桑代克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.5pt">
                  <v:imagedata r:id="rId14" o:title=""/>
                </v:shape>
              </w:pict>
            </w:r>
            <w:r>
              <w:pict>
                <v:shape id="_x0000_i1050" type="#_x0000_t75" style="height:9pt;width:96.01pt">
                  <v:imagedata r:id="rId1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B.苛勒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1.75pt">
                  <v:imagedata r:id="rId7" o:title=""/>
                </v:shape>
              </w:pict>
            </w:r>
            <w:r>
              <w:pict>
                <v:shape id="_x0000_i1052" type="#_x0000_t75" style="height:9pt;width:84.76pt">
                  <v:imagedata r:id="rId8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C.布鲁纳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1.75pt">
                  <v:imagedata r:id="rId7" o:title=""/>
                </v:shape>
              </w:pict>
            </w:r>
            <w:r>
              <w:pict>
                <v:shape id="_x0000_i1054" type="#_x0000_t75" style="height:9pt;width:84.76pt">
                  <v:imagedata r:id="rId8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D.托尔曼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50.26pt">
                  <v:imagedata r:id="rId18" o:title=""/>
                </v:shape>
              </w:pict>
            </w:r>
            <w:r>
              <w:pict>
                <v:shape id="_x0000_i1056" type="#_x0000_t75" style="height:9pt;width:56.26pt">
                  <v:imagedata r:id="rId19" o:title=""/>
                </v:shape>
              </w:pict>
            </w:r>
            <w:r>
              <w:t>47.37%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47.37%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