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6月15日每日一练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1.在问题解决过程中，有时会出现“恍然大悟”或“豁然开朗”的情况，这一现象可以用( )解释。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A.心理定势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pt">
                  <v:imagedata r:id="rId4" o:title=""/>
                </v:shape>
              </w:pict>
            </w:r>
            <w:r>
              <w:pict>
                <v:shape id="_x0000_i1026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B.酝酿效应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1.01pt">
                  <v:imagedata r:id="rId6" o:title=""/>
                </v:shape>
              </w:pict>
            </w:r>
            <w:r>
              <w:pict>
                <v:shape id="_x0000_i1028" type="#_x0000_t75" style="height:9pt;width:25.5pt">
                  <v:imagedata r:id="rId7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pt">
                  <v:imagedata r:id="rId4" o:title=""/>
                </v:shape>
              </w:pict>
            </w:r>
            <w:r>
              <w:pict>
                <v:shape id="_x0000_i1030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D.功能固着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2.数学中学到的逻辑推理规则，有利于问题的解决，这属于(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2.26pt">
                  <v:imagedata r:id="rId9" o:title=""/>
                </v:shape>
              </w:pict>
            </w:r>
            <w:r>
              <w:pict>
                <v:shape id="_x0000_i1033" type="#_x0000_t75" style="height:9pt;width:44.26pt">
                  <v:imagedata r:id="rId10" o:title=""/>
                </v:shape>
              </w:pict>
            </w:r>
            <w:r>
              <w:t>58.82%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C.纵向迁移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4.75pt">
                  <v:imagedata r:id="rId11" o:title=""/>
                </v:shape>
              </w:pict>
            </w:r>
            <w:r>
              <w:pict>
                <v:shape id="_x0000_i1036" type="#_x0000_t75" style="height:9pt;width:81.76pt">
                  <v:imagedata r:id="rId12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D.逆向迁移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8.75pt">
                  <v:imagedata r:id="rId13" o:title=""/>
                </v:shape>
              </w:pict>
            </w:r>
            <w:r>
              <w:pict>
                <v:shape id="_x0000_i1038" type="#_x0000_t75" style="height:9pt;width:87.76pt">
                  <v:imagedata r:id="rId14" o:title=""/>
                </v:shape>
              </w:pict>
            </w:r>
            <w:r>
              <w:t>17.65%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3.下列哪项不属于学习行为(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A.谈虎色变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15" o:title=""/>
                </v:shape>
              </w:pict>
            </w:r>
            <w:r>
              <w:pict>
                <v:shape id="_x0000_i1040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B.杯弓蛇影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pt">
                  <v:imagedata r:id="rId15" o:title=""/>
                </v:shape>
              </w:pict>
            </w:r>
            <w:r>
              <w:pict>
                <v:shape id="_x0000_i1042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C.近朱者赤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pt">
                  <v:imagedata r:id="rId15" o:title=""/>
                </v:shape>
              </w:pict>
            </w:r>
            <w:r>
              <w:pict>
                <v:shape id="_x0000_i1044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D.蜜蜂采蜜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7.01pt">
                  <v:imagedata r:id="rId17" o:title=""/>
                </v:shape>
              </w:pict>
            </w:r>
            <w:r>
              <w:pict>
                <v:shape id="_x0000_i1046" type="#_x0000_t75" style="height:9pt;width:19.5pt">
                  <v:imagedata r:id="rId18" o:title=""/>
                </v:shape>
              </w:pict>
            </w:r>
            <w:r>
              <w:t>82.35%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82.35%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4.表现在人对现实的态度和行为方式的、比较稳定的独特的心理特征的总和是(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A.气质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6.26pt">
                  <v:imagedata r:id="rId19" o:title=""/>
                </v:shape>
              </w:pict>
            </w:r>
            <w:r>
              <w:pict>
                <v:shape id="_x0000_i1048" type="#_x0000_t75" style="height:9pt;width:50.26pt">
                  <v:imagedata r:id="rId20" o:title=""/>
                </v:shape>
              </w:pict>
            </w:r>
            <w:r>
              <w:t>52.94%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B.性格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7.51pt">
                  <v:imagedata r:id="rId21" o:title=""/>
                </v:shape>
              </w:pict>
            </w:r>
            <w:r>
              <w:pict>
                <v:shape id="_x0000_i1050" type="#_x0000_t75" style="height:9pt;width:69.01pt">
                  <v:imagedata r:id="rId22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2pt">
                  <v:imagedata r:id="rId4" o:title=""/>
                </v:shape>
              </w:pict>
            </w:r>
            <w:r>
              <w:pict>
                <v:shape id="_x0000_i1053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5.人们在社会活动中表现出来和发展起来的能力是(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A.认知能力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pt">
                  <v:imagedata r:id="rId15" o:title=""/>
                </v:shape>
              </w:pict>
            </w:r>
            <w:r>
              <w:pict>
                <v:shape id="_x0000_i1055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pt">
                  <v:imagedata r:id="rId15" o:title=""/>
                </v:shape>
              </w:pict>
            </w:r>
            <w:r>
              <w:pict>
                <v:shape id="_x0000_i1057" type="#_x0000_t75" style="height:9pt;width:100.51pt">
                  <v:imagedata r:id="rId16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C.社交能力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3.76pt">
                  <v:imagedata r:id="rId23" o:title=""/>
                </v:shape>
              </w:pict>
            </w:r>
            <w:r>
              <w:pict>
                <v:shape id="_x0000_i1059" type="#_x0000_t75" style="height:9pt;width:12.75pt">
                  <v:imagedata r:id="rId24" o:title=""/>
                </v:shape>
              </w:pict>
            </w:r>
            <w:r>
              <w:t>88.24%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D.模仿能力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88.24%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