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教师资格每日一练（7月13日）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1、依据皮亚杰的认知发展理论，儿童思维具有可逆性、补偿性和灵活性时，他处于(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A.感知运算阶段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44.26pt">
                  <v:imagedata r:id="rId4" o:title=""/>
                </v:shape>
              </w:pict>
            </w:r>
            <w:r>
              <w:pict>
                <v:shape id="_x0000_i1026" type="#_x0000_t75" style="height:9pt;width:62.26pt">
                  <v:imagedata r:id="rId5" o:title=""/>
                </v:shape>
              </w:pict>
            </w:r>
            <w:r>
              <w:t>42.11%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B.具体运算阶段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21.75pt">
                  <v:imagedata r:id="rId6" o:title=""/>
                </v:shape>
              </w:pict>
            </w:r>
            <w:r>
              <w:pict>
                <v:shape id="_x0000_i1028" type="#_x0000_t75" style="height:9pt;width:84.76pt">
                  <v:imagedata r:id="rId7" o:title=""/>
                </v:shape>
              </w:pict>
            </w:r>
            <w:r>
              <w:t>21.05%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C.形式运算阶段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39.01pt">
                  <v:imagedata r:id="rId8" o:title=""/>
                </v:shape>
              </w:pict>
            </w:r>
            <w:r>
              <w:pict>
                <v:shape id="_x0000_i1030" type="#_x0000_t75" style="height:9pt;width:67.51pt">
                  <v:imagedata r:id="rId9" o:title=""/>
                </v:shape>
              </w:pict>
            </w:r>
            <w:r>
              <w:t>36.84%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D.前运算阶段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36.84%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2、桑代克认为，学习的过程是一种渐进的、盲目的、( )的过程。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A.尝试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33pt">
                  <v:imagedata r:id="rId11" o:title=""/>
                </v:shape>
              </w:pict>
            </w:r>
            <w:r>
              <w:pict>
                <v:shape id="_x0000_i1033" type="#_x0000_t75" style="height:9pt;width:73.51pt">
                  <v:imagedata r:id="rId12" o:title=""/>
                </v:shape>
              </w:pict>
            </w:r>
            <w:r>
              <w:t>31.58%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B.反馈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10.5pt">
                  <v:imagedata r:id="rId13" o:title=""/>
                </v:shape>
              </w:pict>
            </w:r>
            <w:r>
              <w:pict>
                <v:shape id="_x0000_i1035" type="#_x0000_t75" style="height:9pt;width:96.01pt">
                  <v:imagedata r:id="rId14" o:title=""/>
                </v:shape>
              </w:pict>
            </w:r>
            <w:r>
              <w:t>10.53%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C.尝试错误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61.51pt">
                  <v:imagedata r:id="rId15" o:title=""/>
                </v:shape>
              </w:pict>
            </w:r>
            <w:r>
              <w:pict>
                <v:shape id="_x0000_i1037" type="#_x0000_t75" style="height:9pt;width:45.01pt">
                  <v:imagedata r:id="rId16" o:title=""/>
                </v:shape>
              </w:pict>
            </w:r>
            <w:r>
              <w:t>57.89%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D.联络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57.89%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3、孔子说“学而不思则罔，思而不学则殆”，表明孔子很强调(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A.启发式教育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B.学习与思考相结合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89.26pt">
                  <v:imagedata r:id="rId17" o:title=""/>
                </v:shape>
              </w:pict>
            </w:r>
            <w:r>
              <w:pict>
                <v:shape id="_x0000_i1041" type="#_x0000_t75" style="height:9pt;width:17.25pt">
                  <v:imagedata r:id="rId18" o:title=""/>
                </v:shape>
              </w:pict>
            </w:r>
            <w:r>
              <w:t>84.21%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C.因材施教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5.25pt">
                  <v:imagedata r:id="rId19" o:title=""/>
                </v:shape>
              </w:pict>
            </w:r>
            <w:r>
              <w:pict>
                <v:shape id="_x0000_i1043" type="#_x0000_t75" style="height:9pt;width:101.26pt">
                  <v:imagedata r:id="rId20" o:title=""/>
                </v:shape>
              </w:pict>
            </w:r>
            <w:r>
              <w:t>5.26%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D.学习与行动相结合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0.5pt">
                  <v:imagedata r:id="rId13" o:title=""/>
                </v:shape>
              </w:pict>
            </w:r>
            <w:r>
              <w:pict>
                <v:shape id="_x0000_i1045" type="#_x0000_t75" style="height:9pt;width:96.01pt">
                  <v:imagedata r:id="rId14" o:title=""/>
                </v:shape>
              </w:pict>
            </w:r>
            <w:r>
              <w:t>10.53%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84.21%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4、根据教育适应自然的原则和要素教育理论，研究了小学各科教学法，被称为“教育史上小学各科教学法的奠基人”的是(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A.裴斯泰洛齐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55.51pt">
                  <v:imagedata r:id="rId21" o:title=""/>
                </v:shape>
              </w:pict>
            </w:r>
            <w:r>
              <w:pict>
                <v:shape id="_x0000_i1047" type="#_x0000_t75" style="height:9pt;width:51.01pt">
                  <v:imagedata r:id="rId22" o:title=""/>
                </v:shape>
              </w:pict>
            </w:r>
            <w:r>
              <w:t>52.63%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B.卢梭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0.5pt">
                  <v:imagedata r:id="rId13" o:title=""/>
                </v:shape>
              </w:pict>
            </w:r>
            <w:r>
              <w:pict>
                <v:shape id="_x0000_i1049" type="#_x0000_t75" style="height:9pt;width:96.01pt">
                  <v:imagedata r:id="rId14" o:title=""/>
                </v:shape>
              </w:pict>
            </w:r>
            <w:r>
              <w:t>10.53%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C.康德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27.75pt">
                  <v:imagedata r:id="rId23" o:title=""/>
                </v:shape>
              </w:pict>
            </w:r>
            <w:r>
              <w:pict>
                <v:shape id="_x0000_i1051" type="#_x0000_t75" style="height:9pt;width:78.76pt">
                  <v:imagedata r:id="rId24" o:title=""/>
                </v:shape>
              </w:pict>
            </w:r>
            <w:r>
              <w:t>26.32%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D.洛克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10.5pt">
                  <v:imagedata r:id="rId13" o:title=""/>
                </v:shape>
              </w:pict>
            </w:r>
            <w:r>
              <w:pict>
                <v:shape id="_x0000_i1053" type="#_x0000_t75" style="height:9pt;width:96.01pt">
                  <v:imagedata r:id="rId14" o:title=""/>
                </v:shape>
              </w:pict>
            </w:r>
            <w:r>
              <w:t>10.53%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52.63%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5、“稳重，但灵活性不足;踏实，但有些死板;沉着冷静，但缺乏生气。”描述的是哪一种气质?(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A.多血质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21.75pt">
                  <v:imagedata r:id="rId6" o:title=""/>
                </v:shape>
              </w:pict>
            </w:r>
            <w:r>
              <w:pict>
                <v:shape id="_x0000_i1055" type="#_x0000_t75" style="height:9pt;width:84.76pt">
                  <v:imagedata r:id="rId7" o:title=""/>
                </v:shape>
              </w:pict>
            </w:r>
            <w:r>
              <w:t>21.05%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B.黏液质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44.26pt">
                  <v:imagedata r:id="rId4" o:title=""/>
                </v:shape>
              </w:pict>
            </w:r>
            <w:r>
              <w:pict>
                <v:shape id="_x0000_i1057" type="#_x0000_t75" style="height:9pt;width:62.26pt">
                  <v:imagedata r:id="rId5" o:title=""/>
                </v:shape>
              </w:pict>
            </w:r>
            <w:r>
              <w:t>42.11%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C.胆汁质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10.5pt">
                  <v:imagedata r:id="rId13" o:title=""/>
                </v:shape>
              </w:pict>
            </w:r>
            <w:r>
              <w:pict>
                <v:shape id="_x0000_i1059" type="#_x0000_t75" style="height:9pt;width:96.01pt">
                  <v:imagedata r:id="rId14" o:title=""/>
                </v:shape>
              </w:pict>
            </w:r>
            <w:r>
              <w:t>10.53%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D.抑郁质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27.75pt">
                  <v:imagedata r:id="rId23" o:title=""/>
                </v:shape>
              </w:pict>
            </w:r>
            <w:r>
              <w:pict>
                <v:shape id="_x0000_i1061" type="#_x0000_t75" style="height:9pt;width:78.76pt">
                  <v:imagedata r:id="rId24" o:title=""/>
                </v:shape>
              </w:pict>
            </w:r>
            <w:r>
              <w:t>26.32%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42.11%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