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教师资格每日一练（7月13日）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1、依据皮亚杰的认知发展理论，儿童思维具有可逆性、补偿性和灵活性时，他处于(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A.感知运算阶段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4.26pt">
                  <v:imagedata r:id="rId4" o:title=""/>
                </v:shape>
              </w:pict>
            </w:r>
            <w:r>
              <w:pict>
                <v:shape id="_x0000_i1026" type="#_x0000_t75" style="height:9pt;width:62.26pt">
                  <v:imagedata r:id="rId5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B.具体运算阶段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1.75pt">
                  <v:imagedata r:id="rId6" o:title=""/>
                </v:shape>
              </w:pict>
            </w:r>
            <w:r>
              <w:pict>
                <v:shape id="_x0000_i1028" type="#_x0000_t75" style="height:9pt;width:84.76pt">
                  <v:imagedata r:id="rId7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C.形式运算阶段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9.01pt">
                  <v:imagedata r:id="rId8" o:title=""/>
                </v:shape>
              </w:pict>
            </w:r>
            <w:r>
              <w:pict>
                <v:shape id="_x0000_i1030" type="#_x0000_t75" style="height:9pt;width:67.51pt">
                  <v:imagedata r:id="rId9" o:title=""/>
                </v:shape>
              </w:pict>
            </w:r>
            <w:r>
              <w:t>36.84%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D.前运算阶段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36.84%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2、桑代克认为，学习的过程是一种渐进的、盲目的、( )的过程。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A.尝试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3pt">
                  <v:imagedata r:id="rId11" o:title=""/>
                </v:shape>
              </w:pict>
            </w:r>
            <w:r>
              <w:pict>
                <v:shape id="_x0000_i1033" type="#_x0000_t75" style="height:9pt;width:73.51pt">
                  <v:imagedata r:id="rId12" o:title=""/>
                </v:shape>
              </w:pict>
            </w:r>
            <w:r>
              <w:t>31.58%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.5pt">
                  <v:imagedata r:id="rId13" o:title=""/>
                </v:shape>
              </w:pict>
            </w:r>
            <w:r>
              <w:pict>
                <v:shape id="_x0000_i1035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C.尝试错误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1.51pt">
                  <v:imagedata r:id="rId15" o:title=""/>
                </v:shape>
              </w:pict>
            </w:r>
            <w:r>
              <w:pict>
                <v:shape id="_x0000_i1037" type="#_x0000_t75" style="height:9pt;width:45.01pt">
                  <v:imagedata r:id="rId16" o:title=""/>
                </v:shape>
              </w:pict>
            </w:r>
            <w:r>
              <w:t>57.89%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D.联络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3、孔子说“学而不思则罔，思而不学则殆”，表明孔子很强调(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A.启发式教育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B.学习与思考相结合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9.26pt">
                  <v:imagedata r:id="rId17" o:title=""/>
                </v:shape>
              </w:pict>
            </w:r>
            <w:r>
              <w:pict>
                <v:shape id="_x0000_i1041" type="#_x0000_t75" style="height:9pt;width:17.25pt">
                  <v:imagedata r:id="rId18" o:title=""/>
                </v:shape>
              </w:pict>
            </w:r>
            <w:r>
              <w:t>84.21%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C.因材施教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.25pt">
                  <v:imagedata r:id="rId19" o:title=""/>
                </v:shape>
              </w:pict>
            </w:r>
            <w:r>
              <w:pict>
                <v:shape id="_x0000_i1043" type="#_x0000_t75" style="height:9pt;width:101.26pt">
                  <v:imagedata r:id="rId20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D.学习与行动相结合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.5pt">
                  <v:imagedata r:id="rId13" o:title=""/>
                </v:shape>
              </w:pict>
            </w:r>
            <w:r>
              <w:pict>
                <v:shape id="_x0000_i1045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4、根据教育适应自然的原则和要素教育理论，研究了小学各科教学法，被称为“教育史上小学各科教学法的奠基人”的是(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A.裴斯泰洛齐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5.51pt">
                  <v:imagedata r:id="rId21" o:title=""/>
                </v:shape>
              </w:pict>
            </w:r>
            <w:r>
              <w:pict>
                <v:shape id="_x0000_i1047" type="#_x0000_t75" style="height:9pt;width:51.01pt">
                  <v:imagedata r:id="rId22" o:title=""/>
                </v:shape>
              </w:pict>
            </w:r>
            <w:r>
              <w:t>52.63%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.5pt">
                  <v:imagedata r:id="rId13" o:title=""/>
                </v:shape>
              </w:pict>
            </w:r>
            <w:r>
              <w:pict>
                <v:shape id="_x0000_i1049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C.康德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7.75pt">
                  <v:imagedata r:id="rId23" o:title=""/>
                </v:shape>
              </w:pict>
            </w:r>
            <w:r>
              <w:pict>
                <v:shape id="_x0000_i1051" type="#_x0000_t75" style="height:9pt;width:78.76pt">
                  <v:imagedata r:id="rId24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D.洛克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13" o:title=""/>
                </v:shape>
              </w:pict>
            </w:r>
            <w:r>
              <w:pict>
                <v:shape id="_x0000_i1053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5、“稳重，但灵活性不足;踏实，但有些死板;沉着冷静，但缺乏生气。”描述的是哪一种气质?(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A.多血质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.75pt">
                  <v:imagedata r:id="rId6" o:title=""/>
                </v:shape>
              </w:pict>
            </w:r>
            <w:r>
              <w:pict>
                <v:shape id="_x0000_i1055" type="#_x0000_t75" style="height:9pt;width:84.76pt">
                  <v:imagedata r:id="rId7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B.黏液质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4.26pt">
                  <v:imagedata r:id="rId4" o:title=""/>
                </v:shape>
              </w:pict>
            </w:r>
            <w:r>
              <w:pict>
                <v:shape id="_x0000_i1057" type="#_x0000_t75" style="height:9pt;width:62.26pt">
                  <v:imagedata r:id="rId5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C.胆汁质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.5pt">
                  <v:imagedata r:id="rId13" o:title=""/>
                </v:shape>
              </w:pict>
            </w:r>
            <w:r>
              <w:pict>
                <v:shape id="_x0000_i1059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D.抑郁质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7.75pt">
                  <v:imagedata r:id="rId23" o:title=""/>
                </v:shape>
              </w:pict>
            </w:r>
            <w:r>
              <w:pict>
                <v:shape id="_x0000_i1061" type="#_x0000_t75" style="height:9pt;width:78.76pt">
                  <v:imagedata r:id="rId24" o:title=""/>
                </v:shape>
              </w:pict>
            </w:r>
            <w:r>
              <w:t>26.32%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