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教师招聘每日一练（7月23日）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1.高中一年级入学开始，班主任王老师通过各种渠道，深入了解班级每个学生的情况，并据此制定个人三年发展规划，这种做法表明王老师关注(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A.学生发展的差异性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2.76pt">
                  <v:imagedata r:id="rId4" o:title=""/>
                </v:shape>
              </w:pict>
            </w:r>
            <w:r>
              <w:pict>
                <v:shape id="_x0000_i1026" type="#_x0000_t75" style="height:9pt;width:3.75pt">
                  <v:imagedata r:id="rId5" o:title=""/>
                </v:shape>
              </w:pict>
            </w:r>
            <w:r>
              <w:t>96.97%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B.学生发展的互补性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pict>
                <v:shape id="_x0000_i1028" type="#_x0000_t75" style="height:9pt;width:103.51pt">
                  <v:imagedata r:id="rId7" o:title=""/>
                </v:shape>
              </w:pict>
            </w:r>
            <w:r>
              <w:t>3.03%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C.学生发展的平衡性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D.学生发展的顺序性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96.97%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2.教育学家朱熹说:“孔子教人，各因其材。”这是因材施教一词的来源，因材施教体现了人的身心发展的(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C.互补性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D.个体差异性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9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3.普通中小学经常组织诸如生物、物理、航模等兴趣小组，主要是为了(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A.深化课堂教学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pt">
                  <v:imagedata r:id="rId6" o:title=""/>
                </v:shape>
              </w:pict>
            </w:r>
            <w:r>
              <w:pict>
                <v:shape id="_x0000_i1036" type="#_x0000_t75" style="height:9pt;width:103.51pt">
                  <v:imagedata r:id="rId7" o:title=""/>
                </v:shape>
              </w:pict>
            </w:r>
            <w:r>
              <w:t>3.03%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B.培养竞赛人才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C.因材施教，发展青少年个性特长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87.01pt">
                  <v:imagedata r:id="rId10" o:title=""/>
                </v:shape>
              </w:pict>
            </w:r>
            <w:r>
              <w:pict>
                <v:shape id="_x0000_i1039" type="#_x0000_t75" style="height:9pt;width:19.5pt">
                  <v:imagedata r:id="rId11" o:title=""/>
                </v:shape>
              </w:pict>
            </w:r>
            <w:r>
              <w:t>81.82%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D.充分发掘学有余力的学生的学习潜力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5.75pt">
                  <v:imagedata r:id="rId12" o:title=""/>
                </v:shape>
              </w:pict>
            </w:r>
            <w:r>
              <w:pict>
                <v:shape id="_x0000_i1041" type="#_x0000_t75" style="height:9pt;width:90.76pt">
                  <v:imagedata r:id="rId13" o:title=""/>
                </v:shape>
              </w:pict>
            </w:r>
            <w:r>
              <w:t>15.15%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4.超前补课，违反个体身心发展规律中的(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A.顺序性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70.51pt">
                  <v:imagedata r:id="rId14" o:title=""/>
                </v:shape>
              </w:pict>
            </w:r>
            <w:r>
              <w:pict>
                <v:shape id="_x0000_i1043" type="#_x0000_t75" style="height:9pt;width:36.01pt">
                  <v:imagedata r:id="rId15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2.25pt">
                  <v:imagedata r:id="rId16" o:title=""/>
                </v:shape>
              </w:pict>
            </w:r>
            <w:r>
              <w:pict>
                <v:shape id="_x0000_i1045" type="#_x0000_t75" style="height:9pt;width:74.26pt">
                  <v:imagedata r:id="rId17" o:title=""/>
                </v:shape>
              </w:pict>
            </w:r>
            <w:r>
              <w:t>30.3%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C.不平衡性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D.个体差异性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pt">
                  <v:imagedata r:id="rId6" o:title=""/>
                </v:shape>
              </w:pict>
            </w:r>
            <w:r>
              <w:pict>
                <v:shape id="_x0000_i1048" type="#_x0000_t75" style="height:9pt;width:103.51pt">
                  <v:imagedata r:id="rId7" o:title=""/>
                </v:shape>
              </w:pict>
            </w:r>
            <w:r>
              <w:t>3.03%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5.人们常说的“聪明早慧”或者“大器晚成”指的是个体身心发展的(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A.互补性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B.个别差异性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45.01pt">
                  <v:imagedata r:id="rId18" o:title=""/>
                </v:shape>
              </w:pict>
            </w:r>
            <w:r>
              <w:pict>
                <v:shape id="_x0000_i1051" type="#_x0000_t75" style="height:9pt;width:61.51pt">
                  <v:imagedata r:id="rId19" o:title=""/>
                </v:shape>
              </w:pict>
            </w:r>
            <w:r>
              <w:t>42.42%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C.不平衡性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45.01pt">
                  <v:imagedata r:id="rId18" o:title=""/>
                </v:shape>
              </w:pict>
            </w:r>
            <w:r>
              <w:pict>
                <v:shape id="_x0000_i1053" type="#_x0000_t75" style="height:9pt;width:61.51pt">
                  <v:imagedata r:id="rId19" o:title=""/>
                </v:shape>
              </w:pict>
            </w:r>
            <w:r>
              <w:t>42.42%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5.75pt">
                  <v:imagedata r:id="rId12" o:title=""/>
                </v:shape>
              </w:pict>
            </w:r>
            <w:r>
              <w:pict>
                <v:shape id="_x0000_i1055" type="#_x0000_t75" style="height:9pt;width:90.76pt">
                  <v:imagedata r:id="rId13" o:title=""/>
                </v:shape>
              </w:pict>
            </w:r>
            <w:r>
              <w:t>15.15%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42.42%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