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教师招聘每日一练（8月19日）</w:t>
      </w:r>
    </w:p>
    <w:p w:rsidR="00A77B3E">
      <w:pPr>
        <w:rPr>
          <w:b/>
          <w:sz w:val="32"/>
        </w:rPr>
      </w:pPr>
      <w:r>
        <w:rPr>
          <w:b w:val="0"/>
          <w:color w:val="000000"/>
          <w:sz w:val="24"/>
        </w:rPr>
        <w:t>1.小明今年5岁，用S-B量表测智商，通过了所有5岁组和6岁组的题目，7岁组的题目一道都不会，那小明的智商是(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A.120</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41</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87.01pt">
                  <v:imagedata r:id="rId4" o:title=""/>
                </v:shape>
              </w:pict>
            </w:r>
            <w:r>
              <w:pict>
                <v:shape id="_x0000_i1026" type="#_x0000_t75" style="height:9pt;width:19.5pt">
                  <v:imagedata r:id="rId5" o:title=""/>
                </v:shape>
              </w:pict>
            </w:r>
            <w:r>
              <w:t>82%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B.121</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27" type="#_x0000_t75" style="height:9pt;width:10.5pt">
                  <v:imagedata r:id="rId6" o:title=""/>
                </v:shape>
              </w:pict>
            </w:r>
            <w:r>
              <w:pict>
                <v:shape id="_x0000_i1028" type="#_x0000_t75" style="height:9pt;width:96.01pt">
                  <v:imagedata r:id="rId7" o:title=""/>
                </v:shape>
              </w:pict>
            </w:r>
            <w:r>
              <w:t>10%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C.122</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29" type="#_x0000_t75" style="height:9pt;width:8.25pt">
                  <v:imagedata r:id="rId8" o:title=""/>
                </v:shape>
              </w:pict>
            </w:r>
            <w:r>
              <w:pict>
                <v:shape id="_x0000_i1030" type="#_x0000_t75" style="height:9pt;width:98.26pt">
                  <v:imagedata r:id="rId9" o:title=""/>
                </v:shape>
              </w:pict>
            </w:r>
            <w:r>
              <w:t>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D.123</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1"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82%</w:t>
      </w:r>
    </w:p>
    <w:p>
      <w:pPr>
        <w:bidi w:val="0"/>
      </w:pPr>
    </w:p>
    <w:p>
      <w:pPr>
        <w:bidi w:val="0"/>
      </w:pPr>
    </w:p>
    <w:p>
      <w:pPr>
        <w:bidi w:val="0"/>
      </w:pPr>
      <w:r>
        <w:rPr>
          <w:b w:val="0"/>
          <w:color w:val="000000"/>
          <w:sz w:val="24"/>
        </w:rPr>
        <w:t>2.教师入职以后，很快会把精力用到教学上，他们越来越关注学生的成绩，从而把精力放在如何上好一堂课上，考虑诸如“教学材料是否充分得当”“如何呈现教学信息”以及“如何掌握好教学时间”等等。按照富勒和布朗的教师成长理论，具有这些表现的教师处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A.关注生存阶段</w:t>
            </w:r>
          </w:p>
        </w:tc>
        <w:tc>
          <w:tcPr>
            <w:shd w:val="clear" w:color="auto" w:fill="FFFFFF"/>
            <w:vAlign w:val="center"/>
          </w:tcPr>
          <w:p>
            <w:pPr>
              <w:bidi w:val="0"/>
              <w:jc w:val="center"/>
            </w:pPr>
            <w:r>
              <w:t>14</w:t>
            </w:r>
          </w:p>
        </w:tc>
        <w:tc>
          <w:tcPr>
            <w:shd w:val="clear" w:color="auto" w:fill="FFFFFF"/>
            <w:vAlign w:val="center"/>
          </w:tcPr>
          <w:p>
            <w:pPr>
              <w:bidi w:val="0"/>
              <w:jc w:val="left"/>
            </w:pPr>
            <w:r>
              <w:pict>
                <v:shape id="_x0000_i1032" type="#_x0000_t75" style="height:9pt;width:29.25pt">
                  <v:imagedata r:id="rId11" o:title=""/>
                </v:shape>
              </w:pict>
            </w:r>
            <w:r>
              <w:pict>
                <v:shape id="_x0000_i1033" type="#_x0000_t75" style="height:9pt;width:77.26pt">
                  <v:imagedata r:id="rId12" o:title=""/>
                </v:shape>
              </w:pict>
            </w:r>
            <w:r>
              <w:t>28%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B.关注情境阶段</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24</w:t>
            </w:r>
          </w:p>
        </w:tc>
        <w:tc>
          <w:tcPr>
            <w:shd w:val="clear" w:color="auto" w:fill="F9F9F9"/>
            <w:vAlign w:val="center"/>
          </w:tcPr>
          <w:p>
            <w:pPr>
              <w:bidi w:val="0"/>
              <w:jc w:val="left"/>
            </w:pPr>
            <w:r>
              <w:pict>
                <v:shape id="_x0000_i1034" type="#_x0000_t75" style="height:9pt;width:51.01pt">
                  <v:imagedata r:id="rId13" o:title=""/>
                </v:shape>
              </w:pict>
            </w:r>
            <w:r>
              <w:pict>
                <v:shape id="_x0000_i1035" type="#_x0000_t75" style="height:9pt;width:55.51pt">
                  <v:imagedata r:id="rId14" o:title=""/>
                </v:shape>
              </w:pict>
            </w:r>
            <w:r>
              <w:t>48%</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C.关注学生阶段</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36" type="#_x0000_t75" style="height:9pt;width:16.5pt">
                  <v:imagedata r:id="rId15" o:title=""/>
                </v:shape>
              </w:pict>
            </w:r>
            <w:r>
              <w:pict>
                <v:shape id="_x0000_i1037" type="#_x0000_t75" style="height:9pt;width:90.01pt">
                  <v:imagedata r:id="rId16" o:title=""/>
                </v:shape>
              </w:pict>
            </w:r>
            <w:r>
              <w:t>16%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D.关注知识阶段</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38" type="#_x0000_t75" style="height:9pt;width:8.25pt">
                  <v:imagedata r:id="rId8" o:title=""/>
                </v:shape>
              </w:pict>
            </w:r>
            <w:r>
              <w:pict>
                <v:shape id="_x0000_i1039" type="#_x0000_t75" style="height:9pt;width:98.26pt">
                  <v:imagedata r:id="rId9" o:title=""/>
                </v:shape>
              </w:pict>
            </w:r>
            <w:r>
              <w:t>8%</w:t>
            </w:r>
          </w:p>
        </w:tc>
      </w:tr>
    </w:tbl>
    <w:p>
      <w:pPr>
        <w:bidi w:val="0"/>
      </w:pPr>
      <w:r>
        <w:rPr>
          <w:rStyle w:val="DefaultParagraphFont"/>
          <w:bdr w:val="nil"/>
          <w:rtl w:val="0"/>
        </w:rPr>
        <w:t>正确率：</w:t>
      </w:r>
      <w:r>
        <w:rPr>
          <w:rStyle w:val="DefaultParagraphFont"/>
          <w:color w:val="FF6600"/>
          <w:bdr w:val="nil"/>
          <w:rtl w:val="0"/>
        </w:rPr>
        <w:t>48%</w:t>
      </w:r>
    </w:p>
    <w:p>
      <w:pPr>
        <w:bidi w:val="0"/>
      </w:pPr>
    </w:p>
    <w:p>
      <w:pPr>
        <w:bidi w:val="0"/>
      </w:pPr>
    </w:p>
    <w:p>
      <w:pPr>
        <w:bidi w:val="0"/>
      </w:pPr>
      <w:r>
        <w:rPr>
          <w:b w:val="0"/>
          <w:color w:val="000000"/>
          <w:sz w:val="24"/>
        </w:rPr>
        <w:t>3.( )学生一般偏爱社会科学，他们的学习常常依赖外部反馈，对人比对物更感兴趣。</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A.沉思型</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0" type="#_x0000_t75" style="height:9pt;width:1.5pt">
                  <v:imagedata r:id="rId17" o:title=""/>
                </v:shape>
              </w:pict>
            </w:r>
            <w:r>
              <w:pict>
                <v:shape id="_x0000_i1041" type="#_x0000_t75" style="height:9pt;width:105.01pt">
                  <v:imagedata r:id="rId18" o:title=""/>
                </v:shape>
              </w:pict>
            </w:r>
            <w:r>
              <w:t>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B.冲动型</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2" type="#_x0000_t75" style="height:9pt;width:3.75pt">
                  <v:imagedata r:id="rId19" o:title=""/>
                </v:shape>
              </w:pict>
            </w:r>
            <w:r>
              <w:pict>
                <v:shape id="_x0000_i1043" type="#_x0000_t75" style="height:9pt;width:102.76pt">
                  <v:imagedata r:id="rId20" o:title=""/>
                </v:shape>
              </w:pict>
            </w:r>
            <w:r>
              <w:t>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C.场独立型</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44" type="#_x0000_t75" style="height:9pt;width:6pt">
                  <v:imagedata r:id="rId21" o:title=""/>
                </v:shape>
              </w:pict>
            </w:r>
            <w:r>
              <w:pict>
                <v:shape id="_x0000_i1045" type="#_x0000_t75" style="height:9pt;width:100.51pt">
                  <v:imagedata r:id="rId22" o:title=""/>
                </v:shape>
              </w:pict>
            </w:r>
            <w:r>
              <w:t>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D.场依存型</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44</w:t>
            </w:r>
          </w:p>
        </w:tc>
        <w:tc>
          <w:tcPr>
            <w:shd w:val="clear" w:color="auto" w:fill="F9F9F9"/>
            <w:vAlign w:val="center"/>
          </w:tcPr>
          <w:p>
            <w:pPr>
              <w:bidi w:val="0"/>
              <w:jc w:val="left"/>
            </w:pPr>
            <w:r>
              <w:pict>
                <v:shape id="_x0000_i1046" type="#_x0000_t75" style="height:9pt;width:93.01pt">
                  <v:imagedata r:id="rId23" o:title=""/>
                </v:shape>
              </w:pict>
            </w:r>
            <w:r>
              <w:pict>
                <v:shape id="_x0000_i1047" type="#_x0000_t75" style="height:9pt;width:13.5pt">
                  <v:imagedata r:id="rId24" o:title=""/>
                </v:shape>
              </w:pict>
            </w:r>
            <w:r>
              <w:t>88%</w:t>
            </w:r>
          </w:p>
        </w:tc>
      </w:tr>
    </w:tbl>
    <w:p>
      <w:pPr>
        <w:bidi w:val="0"/>
      </w:pPr>
      <w:r>
        <w:rPr>
          <w:rStyle w:val="DefaultParagraphFont"/>
          <w:bdr w:val="nil"/>
          <w:rtl w:val="0"/>
        </w:rPr>
        <w:t>正确率：</w:t>
      </w:r>
      <w:r>
        <w:rPr>
          <w:rStyle w:val="DefaultParagraphFont"/>
          <w:color w:val="FF6600"/>
          <w:bdr w:val="nil"/>
          <w:rtl w:val="0"/>
        </w:rPr>
        <w:t>88%</w:t>
      </w:r>
    </w:p>
    <w:p>
      <w:pPr>
        <w:bidi w:val="0"/>
      </w:pPr>
    </w:p>
    <w:p>
      <w:pPr>
        <w:bidi w:val="0"/>
      </w:pPr>
    </w:p>
    <w:p>
      <w:pPr>
        <w:bidi w:val="0"/>
      </w:pPr>
      <w:r>
        <w:rPr>
          <w:b w:val="0"/>
          <w:color w:val="000000"/>
          <w:sz w:val="24"/>
        </w:rPr>
        <w:t>4.( )提出“任何学科都能以某种智育上正确的方式有效地教授给任何发展阶段的任何孩子。”</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A.布鲁姆</w:t>
            </w:r>
          </w:p>
        </w:tc>
        <w:tc>
          <w:tcPr>
            <w:shd w:val="clear" w:color="auto" w:fill="FFFFFF"/>
            <w:vAlign w:val="center"/>
          </w:tcPr>
          <w:p>
            <w:pPr>
              <w:bidi w:val="0"/>
              <w:jc w:val="center"/>
            </w:pPr>
            <w:r>
              <w:t>11</w:t>
            </w:r>
          </w:p>
        </w:tc>
        <w:tc>
          <w:tcPr>
            <w:shd w:val="clear" w:color="auto" w:fill="FFFFFF"/>
            <w:vAlign w:val="center"/>
          </w:tcPr>
          <w:p>
            <w:pPr>
              <w:bidi w:val="0"/>
              <w:jc w:val="left"/>
            </w:pPr>
            <w:r>
              <w:pict>
                <v:shape id="_x0000_i1048" type="#_x0000_t75" style="height:9pt;width:23.25pt">
                  <v:imagedata r:id="rId25" o:title=""/>
                </v:shape>
              </w:pict>
            </w:r>
            <w:r>
              <w:pict>
                <v:shape id="_x0000_i1049" type="#_x0000_t75" style="height:9pt;width:83.26pt">
                  <v:imagedata r:id="rId26" o:title=""/>
                </v:shape>
              </w:pict>
            </w:r>
            <w:r>
              <w:t>22%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B.布鲁纳</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17</w:t>
            </w:r>
          </w:p>
        </w:tc>
        <w:tc>
          <w:tcPr>
            <w:shd w:val="clear" w:color="auto" w:fill="F9F9F9"/>
            <w:vAlign w:val="center"/>
          </w:tcPr>
          <w:p>
            <w:pPr>
              <w:bidi w:val="0"/>
              <w:jc w:val="left"/>
            </w:pPr>
            <w:r>
              <w:pict>
                <v:shape id="_x0000_i1050" type="#_x0000_t75" style="height:9pt;width:36.01pt">
                  <v:imagedata r:id="rId27" o:title=""/>
                </v:shape>
              </w:pict>
            </w:r>
            <w:r>
              <w:pict>
                <v:shape id="_x0000_i1051" type="#_x0000_t75" style="height:9pt;width:70.51pt">
                  <v:imagedata r:id="rId28" o:title=""/>
                </v:shape>
              </w:pict>
            </w:r>
            <w:r>
              <w:t>34%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C.赞科夫</w:t>
            </w:r>
          </w:p>
        </w:tc>
        <w:tc>
          <w:tcPr>
            <w:shd w:val="clear" w:color="auto" w:fill="FFFFFF"/>
            <w:vAlign w:val="center"/>
          </w:tcPr>
          <w:p>
            <w:pPr>
              <w:bidi w:val="0"/>
              <w:jc w:val="center"/>
            </w:pPr>
            <w:r>
              <w:t>12</w:t>
            </w:r>
          </w:p>
        </w:tc>
        <w:tc>
          <w:tcPr>
            <w:shd w:val="clear" w:color="auto" w:fill="FFFFFF"/>
            <w:vAlign w:val="center"/>
          </w:tcPr>
          <w:p>
            <w:pPr>
              <w:bidi w:val="0"/>
              <w:jc w:val="left"/>
            </w:pPr>
            <w:r>
              <w:pict>
                <v:shape id="_x0000_i1052" type="#_x0000_t75" style="height:9pt;width:25.5pt">
                  <v:imagedata r:id="rId29" o:title=""/>
                </v:shape>
              </w:pict>
            </w:r>
            <w:r>
              <w:pict>
                <v:shape id="_x0000_i1053" type="#_x0000_t75" style="height:9pt;width:81.01pt">
                  <v:imagedata r:id="rId30" o:title=""/>
                </v:shape>
              </w:pict>
            </w:r>
            <w:r>
              <w:t>24%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D.维果茨基</w:t>
            </w:r>
          </w:p>
        </w:tc>
        <w:tc>
          <w:tcPr>
            <w:shd w:val="clear" w:color="auto" w:fill="F9F9F9"/>
            <w:vAlign w:val="center"/>
          </w:tcPr>
          <w:p>
            <w:pPr>
              <w:bidi w:val="0"/>
              <w:jc w:val="center"/>
            </w:pPr>
            <w:r>
              <w:t>10</w:t>
            </w:r>
          </w:p>
        </w:tc>
        <w:tc>
          <w:tcPr>
            <w:shd w:val="clear" w:color="auto" w:fill="F9F9F9"/>
            <w:vAlign w:val="center"/>
          </w:tcPr>
          <w:p>
            <w:pPr>
              <w:bidi w:val="0"/>
              <w:jc w:val="left"/>
            </w:pPr>
            <w:r>
              <w:pict>
                <v:shape id="_x0000_i1054" type="#_x0000_t75" style="height:9pt;width:21pt">
                  <v:imagedata r:id="rId31" o:title=""/>
                </v:shape>
              </w:pict>
            </w:r>
            <w:r>
              <w:pict>
                <v:shape id="_x0000_i1055" type="#_x0000_t75" style="height:9pt;width:85.51pt">
                  <v:imagedata r:id="rId32" o:title=""/>
                </v:shape>
              </w:pict>
            </w:r>
            <w:r>
              <w:t>20%</w:t>
            </w:r>
          </w:p>
        </w:tc>
      </w:tr>
    </w:tbl>
    <w:p>
      <w:pPr>
        <w:bidi w:val="0"/>
      </w:pPr>
      <w:r>
        <w:rPr>
          <w:rStyle w:val="DefaultParagraphFont"/>
          <w:bdr w:val="nil"/>
          <w:rtl w:val="0"/>
        </w:rPr>
        <w:t>正确率：</w:t>
      </w:r>
      <w:r>
        <w:rPr>
          <w:rStyle w:val="DefaultParagraphFont"/>
          <w:color w:val="FF6600"/>
          <w:bdr w:val="nil"/>
          <w:rtl w:val="0"/>
        </w:rPr>
        <w:t>34%</w:t>
      </w:r>
    </w:p>
    <w:p>
      <w:pPr>
        <w:bidi w:val="0"/>
      </w:pPr>
    </w:p>
    <w:p>
      <w:pPr>
        <w:bidi w:val="0"/>
      </w:pPr>
    </w:p>
    <w:p>
      <w:pPr>
        <w:bidi w:val="0"/>
      </w:pPr>
      <w:r>
        <w:rPr>
          <w:b w:val="0"/>
          <w:color w:val="000000"/>
          <w:sz w:val="24"/>
        </w:rPr>
        <w:t>5.认为教育是为完美生活做准备的著名教育家是(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A.夸美纽斯</w:t>
            </w:r>
          </w:p>
        </w:tc>
        <w:tc>
          <w:tcPr>
            <w:shd w:val="clear" w:color="auto" w:fill="FFFFFF"/>
            <w:vAlign w:val="center"/>
          </w:tcPr>
          <w:p>
            <w:pPr>
              <w:bidi w:val="0"/>
              <w:jc w:val="center"/>
            </w:pPr>
            <w:r>
              <w:t>10</w:t>
            </w:r>
          </w:p>
        </w:tc>
        <w:tc>
          <w:tcPr>
            <w:shd w:val="clear" w:color="auto" w:fill="FFFFFF"/>
            <w:vAlign w:val="center"/>
          </w:tcPr>
          <w:p>
            <w:pPr>
              <w:bidi w:val="0"/>
              <w:jc w:val="left"/>
            </w:pPr>
            <w:r>
              <w:pict>
                <v:shape id="_x0000_i1056" type="#_x0000_t75" style="height:9pt;width:21pt">
                  <v:imagedata r:id="rId31" o:title=""/>
                </v:shape>
              </w:pict>
            </w:r>
            <w:r>
              <w:pict>
                <v:shape id="_x0000_i1057" type="#_x0000_t75" style="height:9pt;width:85.51pt">
                  <v:imagedata r:id="rId32" o:title=""/>
                </v:shape>
              </w:pict>
            </w:r>
            <w:r>
              <w:t>20%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B.赫尔巴特</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58" type="#_x0000_t75" style="height:9pt;width:6pt">
                  <v:imagedata r:id="rId21" o:title=""/>
                </v:shape>
              </w:pict>
            </w:r>
            <w:r>
              <w:pict>
                <v:shape id="_x0000_i1059" type="#_x0000_t75" style="height:9pt;width:100.51pt">
                  <v:imagedata r:id="rId22" o:title=""/>
                </v:shape>
              </w:pict>
            </w:r>
            <w:r>
              <w:t>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C.杜威</w:t>
            </w:r>
          </w:p>
        </w:tc>
        <w:tc>
          <w:tcPr>
            <w:shd w:val="clear" w:color="auto" w:fill="FFFFFF"/>
            <w:vAlign w:val="center"/>
          </w:tcPr>
          <w:p>
            <w:pPr>
              <w:bidi w:val="0"/>
              <w:jc w:val="center"/>
            </w:pPr>
            <w:r>
              <w:t>10</w:t>
            </w:r>
          </w:p>
        </w:tc>
        <w:tc>
          <w:tcPr>
            <w:shd w:val="clear" w:color="auto" w:fill="FFFFFF"/>
            <w:vAlign w:val="center"/>
          </w:tcPr>
          <w:p>
            <w:pPr>
              <w:bidi w:val="0"/>
              <w:jc w:val="left"/>
            </w:pPr>
            <w:r>
              <w:pict>
                <v:shape id="_x0000_i1060" type="#_x0000_t75" style="height:9pt;width:21pt">
                  <v:imagedata r:id="rId31" o:title=""/>
                </v:shape>
              </w:pict>
            </w:r>
            <w:r>
              <w:pict>
                <v:shape id="_x0000_i1061" type="#_x0000_t75" style="height:9pt;width:85.51pt">
                  <v:imagedata r:id="rId32" o:title=""/>
                </v:shape>
              </w:pict>
            </w:r>
            <w:r>
              <w:t>20%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D.斯宾塞</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27</w:t>
            </w:r>
          </w:p>
        </w:tc>
        <w:tc>
          <w:tcPr>
            <w:shd w:val="clear" w:color="auto" w:fill="F9F9F9"/>
            <w:vAlign w:val="center"/>
          </w:tcPr>
          <w:p>
            <w:pPr>
              <w:bidi w:val="0"/>
              <w:jc w:val="left"/>
            </w:pPr>
            <w:r>
              <w:pict>
                <v:shape id="_x0000_i1062" type="#_x0000_t75" style="height:9pt;width:57.01pt">
                  <v:imagedata r:id="rId33" o:title=""/>
                </v:shape>
              </w:pict>
            </w:r>
            <w:r>
              <w:pict>
                <v:shape id="_x0000_i1063" type="#_x0000_t75" style="height:9pt;width:49.51pt">
                  <v:imagedata r:id="rId34" o:title=""/>
                </v:shape>
              </w:pict>
            </w:r>
            <w:r>
              <w:t>54%</w:t>
            </w:r>
          </w:p>
        </w:tc>
      </w:tr>
    </w:tbl>
    <w:p>
      <w:pPr>
        <w:bidi w:val="0"/>
      </w:pPr>
      <w:r>
        <w:rPr>
          <w:rStyle w:val="DefaultParagraphFont"/>
          <w:bdr w:val="nil"/>
          <w:rtl w:val="0"/>
        </w:rPr>
        <w:t>正确率：</w:t>
      </w:r>
      <w:r>
        <w:rPr>
          <w:rStyle w:val="DefaultParagraphFont"/>
          <w:color w:val="FF6600"/>
          <w:bdr w:val="nil"/>
          <w:rtl w:val="0"/>
        </w:rPr>
        <w:t>54%</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