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教师招聘每日一练（8月24日）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1.( )认知风格的特点是在解决问题时，学习者善于采用发散性思维，从多个视角对问题进行全面思考，考虑多种假设，兼顾到解决问题的各种可能性。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A.表层加工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.25pt">
                  <v:imagedata r:id="rId4" o:title=""/>
                </v:shape>
              </w:pict>
            </w:r>
            <w:r>
              <w:pict>
                <v:shape id="_x0000_i1026" type="#_x0000_t75" style="height:9pt;width:104.26pt">
                  <v:imagedata r:id="rId5" o:title=""/>
                </v:shape>
              </w:pict>
            </w:r>
            <w:r>
              <w:t>2.33%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B.深层加工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44.26pt">
                  <v:imagedata r:id="rId6" o:title=""/>
                </v:shape>
              </w:pict>
            </w:r>
            <w:r>
              <w:pict>
                <v:shape id="_x0000_i1028" type="#_x0000_t75" style="height:9pt;width:62.26pt">
                  <v:imagedata r:id="rId7" o:title=""/>
                </v:shape>
              </w:pict>
            </w:r>
            <w:r>
              <w:t>41.86%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C.同时性加工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56.26pt">
                  <v:imagedata r:id="rId8" o:title=""/>
                </v:shape>
              </w:pict>
            </w:r>
            <w:r>
              <w:pict>
                <v:shape id="_x0000_i1030" type="#_x0000_t75" style="height:9pt;width:50.26pt">
                  <v:imagedata r:id="rId9" o:title=""/>
                </v:shape>
              </w:pict>
            </w:r>
            <w:r>
              <w:t>53.49%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D.继时性加工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.25pt">
                  <v:imagedata r:id="rId4" o:title=""/>
                </v:shape>
              </w:pict>
            </w:r>
            <w:r>
              <w:pict>
                <v:shape id="_x0000_i1032" type="#_x0000_t75" style="height:9pt;width:104.26pt">
                  <v:imagedata r:id="rId5" o:title=""/>
                </v:shape>
              </w:pict>
            </w:r>
            <w:r>
              <w:t>2.33%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53.49%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2.首先把事物作为一个整体笼统加以把握，思维的深刻性和准确性较低，直觉性、模糊性较高，这属于( )信息加工。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A.沉思型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2.25pt">
                  <v:imagedata r:id="rId4" o:title=""/>
                </v:shape>
              </w:pict>
            </w:r>
            <w:r>
              <w:pict>
                <v:shape id="_x0000_i1034" type="#_x0000_t75" style="height:9pt;width:104.26pt">
                  <v:imagedata r:id="rId5" o:title=""/>
                </v:shape>
              </w:pict>
            </w:r>
            <w:r>
              <w:t>2.33%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B.冲动型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46.51pt">
                  <v:imagedata r:id="rId10" o:title=""/>
                </v:shape>
              </w:pict>
            </w:r>
            <w:r>
              <w:pict>
                <v:shape id="_x0000_i1036" type="#_x0000_t75" style="height:9pt;width:60.01pt">
                  <v:imagedata r:id="rId11" o:title=""/>
                </v:shape>
              </w:pict>
            </w:r>
            <w:r>
              <w:t>44.19%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C.分析型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D.综合型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56.26pt">
                  <v:imagedata r:id="rId8" o:title=""/>
                </v:shape>
              </w:pict>
            </w:r>
            <w:r>
              <w:pict>
                <v:shape id="_x0000_i1039" type="#_x0000_t75" style="height:9pt;width:50.26pt">
                  <v:imagedata r:id="rId9" o:title=""/>
                </v:shape>
              </w:pict>
            </w:r>
            <w:r>
              <w:t>53.49%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53.49%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3.教育学作为一门独立形态的学科，形成于(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A.资本主义社会初期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69.01pt">
                  <v:imagedata r:id="rId13" o:title=""/>
                </v:shape>
              </w:pict>
            </w:r>
            <w:r>
              <w:pict>
                <v:shape id="_x0000_i1041" type="#_x0000_t75" style="height:9pt;width:37.51pt">
                  <v:imagedata r:id="rId14" o:title=""/>
                </v:shape>
              </w:pict>
            </w:r>
            <w:r>
              <w:t>65.12%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B.封建社会末期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2pt">
                  <v:imagedata r:id="rId15" o:title=""/>
                </v:shape>
              </w:pict>
            </w:r>
            <w:r>
              <w:pict>
                <v:shape id="_x0000_i1043" type="#_x0000_t75" style="height:9pt;width:94.51pt">
                  <v:imagedata r:id="rId16" o:title=""/>
                </v:shape>
              </w:pict>
            </w:r>
            <w:r>
              <w:t>11.63%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C.奴隶社会初期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9.5pt">
                  <v:imagedata r:id="rId17" o:title=""/>
                </v:shape>
              </w:pict>
            </w:r>
            <w:r>
              <w:pict>
                <v:shape id="_x0000_i1045" type="#_x0000_t75" style="height:9pt;width:87.01pt">
                  <v:imagedata r:id="rId18" o:title=""/>
                </v:shape>
              </w:pict>
            </w:r>
            <w:r>
              <w:t>18.6%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D.原始社会末期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4.5pt">
                  <v:imagedata r:id="rId19" o:title=""/>
                </v:shape>
              </w:pict>
            </w:r>
            <w:r>
              <w:pict>
                <v:shape id="_x0000_i1047" type="#_x0000_t75" style="height:9pt;width:102.01pt">
                  <v:imagedata r:id="rId20" o:title=""/>
                </v:shape>
              </w:pict>
            </w:r>
            <w:r>
              <w:t>4.65%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65.12%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4.冲动型认知的特点是(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A.反应慢，精确性高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B.反应快，精确性高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C.反应慢，精确性低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2.25pt">
                  <v:imagedata r:id="rId4" o:title=""/>
                </v:shape>
              </w:pict>
            </w:r>
            <w:r>
              <w:pict>
                <v:shape id="_x0000_i1051" type="#_x0000_t75" style="height:9pt;width:104.26pt">
                  <v:imagedata r:id="rId5" o:title=""/>
                </v:shape>
              </w:pict>
            </w:r>
            <w:r>
              <w:t>2.33%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D.反应快，精确性低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3.51pt">
                  <v:imagedata r:id="rId21" o:title=""/>
                </v:shape>
              </w:pict>
            </w:r>
            <w:r>
              <w:pict>
                <v:shape id="_x0000_i1053" type="#_x0000_t75" style="height:9pt;width:3pt">
                  <v:imagedata r:id="rId22" o:title=""/>
                </v:shape>
              </w:pict>
            </w:r>
            <w:r>
              <w:t>97.67%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5.解放初期，在我国流行最广、影响最大的苏联的教育学教材是(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A.凯洛夫的《教育学》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88.51pt">
                  <v:imagedata r:id="rId23" o:title=""/>
                </v:shape>
              </w:pict>
            </w:r>
            <w:r>
              <w:pict>
                <v:shape id="_x0000_i1055" type="#_x0000_t75" style="height:9pt;width:18pt">
                  <v:imagedata r:id="rId24" o:title=""/>
                </v:shape>
              </w:pict>
            </w:r>
            <w:r>
              <w:t>83.72%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B.冈察洛夫的《教育学》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2.25pt">
                  <v:imagedata r:id="rId4" o:title=""/>
                </v:shape>
              </w:pict>
            </w:r>
            <w:r>
              <w:pict>
                <v:shape id="_x0000_i1057" type="#_x0000_t75" style="height:9pt;width:104.26pt">
                  <v:imagedata r:id="rId5" o:title=""/>
                </v:shape>
              </w:pict>
            </w:r>
            <w:r>
              <w:t>2.33%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C.巴拉诺夫的《教育学》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9.75pt">
                  <v:imagedata r:id="rId25" o:title=""/>
                </v:shape>
              </w:pict>
            </w:r>
            <w:r>
              <w:pict>
                <v:shape id="_x0000_i1059" type="#_x0000_t75" style="height:9pt;width:96.76pt">
                  <v:imagedata r:id="rId26" o:title=""/>
                </v:shape>
              </w:pict>
            </w:r>
            <w:r>
              <w:t>9.3%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D.巴班斯基的《教育学》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4.5pt">
                  <v:imagedata r:id="rId19" o:title=""/>
                </v:shape>
              </w:pict>
            </w:r>
            <w:r>
              <w:pict>
                <v:shape id="_x0000_i1061" type="#_x0000_t75" style="height:9pt;width:102.01pt">
                  <v:imagedata r:id="rId20" o:title=""/>
                </v:shape>
              </w:pict>
            </w:r>
            <w:r>
              <w:t>4.65%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83.72%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