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教师招聘每日一练（11月16日）</w:t>
      </w:r>
    </w:p>
    <w:p w:rsidR="00A77B3E">
      <w:pPr>
        <w:rPr>
          <w:b/>
          <w:sz w:val="32"/>
        </w:rPr>
      </w:pPr>
      <w:r>
        <w:rPr>
          <w:b w:val="0"/>
          <w:color w:val="000000"/>
          <w:sz w:val="24"/>
        </w:rPr>
        <w:t>1.个体在特定情境下由于练习或反复经验而产生的行为或行为潜能的较持久的变化是(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A.实践</w:t>
            </w:r>
          </w:p>
        </w:tc>
        <w:tc>
          <w:tcPr>
            <w:shd w:val="clear" w:color="auto" w:fill="FFFFFF"/>
            <w:vAlign w:val="center"/>
          </w:tcPr>
          <w:p>
            <w:pPr>
              <w:jc w:val="center"/>
            </w:pPr>
            <w:r>
              <w:t>3</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0.5pt">
                  <v:imagedata r:id="rId4" o:title=""/>
                </v:shape>
              </w:pict>
            </w:r>
            <w:r>
              <w:pict>
                <v:shape id="_x0000_i1026" type="#_x0000_t75" style="height:9pt;width:96.01pt">
                  <v:imagedata r:id="rId5" o:title=""/>
                </v:shape>
              </w:pict>
            </w:r>
            <w:r>
              <w:t>10.34%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B.反应</w:t>
            </w:r>
          </w:p>
        </w:tc>
        <w:tc>
          <w:tcPr>
            <w:shd w:val="clear" w:color="auto" w:fill="F9F9F9"/>
            <w:vAlign w:val="center"/>
          </w:tcPr>
          <w:p>
            <w:pPr>
              <w:jc w:val="center"/>
            </w:pPr>
            <w:r>
              <w:t>4</w:t>
            </w:r>
          </w:p>
        </w:tc>
        <w:tc>
          <w:tcPr>
            <w:shd w:val="clear" w:color="auto" w:fill="F9F9F9"/>
            <w:vAlign w:val="center"/>
          </w:tcPr>
          <w:p>
            <w:pPr>
              <w:jc w:val="left"/>
            </w:pPr>
            <w:r>
              <w:pict>
                <v:shape id="_x0000_i1027" type="#_x0000_t75" style="height:9pt;width:14.25pt">
                  <v:imagedata r:id="rId6" o:title=""/>
                </v:shape>
              </w:pict>
            </w:r>
            <w:r>
              <w:pict>
                <v:shape id="_x0000_i1028" type="#_x0000_t75" style="height:9pt;width:92.26pt">
                  <v:imagedata r:id="rId7" o:title=""/>
                </v:shape>
              </w:pict>
            </w:r>
            <w:r>
              <w:t>13.79%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C.反射</w:t>
            </w:r>
          </w:p>
        </w:tc>
        <w:tc>
          <w:tcPr>
            <w:shd w:val="clear" w:color="auto" w:fill="FFFFFF"/>
            <w:vAlign w:val="center"/>
          </w:tcPr>
          <w:p>
            <w:pPr>
              <w:jc w:val="center"/>
            </w:pPr>
            <w:r>
              <w:t>6</w:t>
            </w:r>
          </w:p>
        </w:tc>
        <w:tc>
          <w:tcPr>
            <w:shd w:val="clear" w:color="auto" w:fill="FFFFFF"/>
            <w:vAlign w:val="center"/>
          </w:tcPr>
          <w:p>
            <w:pPr>
              <w:jc w:val="left"/>
            </w:pPr>
            <w:r>
              <w:pict>
                <v:shape id="_x0000_i1029" type="#_x0000_t75" style="height:9pt;width:21.75pt">
                  <v:imagedata r:id="rId8" o:title=""/>
                </v:shape>
              </w:pict>
            </w:r>
            <w:r>
              <w:pict>
                <v:shape id="_x0000_i1030" type="#_x0000_t75" style="height:9pt;width:84.76pt">
                  <v:imagedata r:id="rId9" o:title=""/>
                </v:shape>
              </w:pict>
            </w:r>
            <w:r>
              <w:t>20.69%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D.学习</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16</w:t>
            </w:r>
          </w:p>
        </w:tc>
        <w:tc>
          <w:tcPr>
            <w:shd w:val="clear" w:color="auto" w:fill="F9F9F9"/>
            <w:vAlign w:val="center"/>
          </w:tcPr>
          <w:p>
            <w:pPr>
              <w:bidi w:val="0"/>
              <w:jc w:val="left"/>
            </w:pPr>
            <w:r>
              <w:pict>
                <v:shape id="_x0000_i1031" type="#_x0000_t75" style="height:9pt;width:58.51pt">
                  <v:imagedata r:id="rId10" o:title=""/>
                </v:shape>
              </w:pict>
            </w:r>
            <w:r>
              <w:pict>
                <v:shape id="_x0000_i1032" type="#_x0000_t75" style="height:9pt;width:48.01pt">
                  <v:imagedata r:id="rId11" o:title=""/>
                </v:shape>
              </w:pict>
            </w:r>
            <w:r>
              <w:t>55.17%</w:t>
            </w:r>
          </w:p>
        </w:tc>
      </w:tr>
    </w:tbl>
    <w:p>
      <w:pPr>
        <w:bidi w:val="0"/>
      </w:pPr>
      <w:r>
        <w:rPr>
          <w:rStyle w:val="DefaultParagraphFont"/>
          <w:bdr w:val="nil"/>
          <w:rtl w:val="0"/>
        </w:rPr>
        <w:t>正确率：</w:t>
      </w:r>
      <w:r>
        <w:rPr>
          <w:rStyle w:val="DefaultParagraphFont"/>
          <w:color w:val="FF6600"/>
          <w:bdr w:val="nil"/>
          <w:rtl w:val="0"/>
        </w:rPr>
        <w:t>55.17%</w:t>
      </w:r>
    </w:p>
    <w:p>
      <w:pPr>
        <w:bidi w:val="0"/>
      </w:pPr>
    </w:p>
    <w:p>
      <w:pPr>
        <w:bidi w:val="0"/>
      </w:pPr>
    </w:p>
    <w:p>
      <w:pPr>
        <w:bidi w:val="0"/>
      </w:pPr>
      <w:r>
        <w:rPr>
          <w:b w:val="0"/>
          <w:color w:val="000000"/>
          <w:sz w:val="24"/>
        </w:rPr>
        <w:t>2.加涅认为人类的学习有五类结果，其中学习者用来调节他自己内部注意、学习、记忆与思维过程的能力是(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A.态度</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33" type="#_x0000_t75" style="height:9pt;width:6.75pt">
                  <v:imagedata r:id="rId12" o:title=""/>
                </v:shape>
              </w:pict>
            </w:r>
            <w:r>
              <w:pict>
                <v:shape id="_x0000_i1034" type="#_x0000_t75" style="height:9pt;width:99.76pt">
                  <v:imagedata r:id="rId13" o:title=""/>
                </v:shape>
              </w:pict>
            </w:r>
            <w:r>
              <w:t>6.9%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B.认知策略</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24</w:t>
            </w:r>
          </w:p>
        </w:tc>
        <w:tc>
          <w:tcPr>
            <w:shd w:val="clear" w:color="auto" w:fill="F9F9F9"/>
            <w:vAlign w:val="center"/>
          </w:tcPr>
          <w:p>
            <w:pPr>
              <w:bidi w:val="0"/>
              <w:jc w:val="left"/>
            </w:pPr>
            <w:r>
              <w:pict>
                <v:shape id="_x0000_i1035" type="#_x0000_t75" style="height:9pt;width:87.76pt">
                  <v:imagedata r:id="rId14" o:title=""/>
                </v:shape>
              </w:pict>
            </w:r>
            <w:r>
              <w:pict>
                <v:shape id="_x0000_i1036" type="#_x0000_t75" style="height:9pt;width:18.75pt">
                  <v:imagedata r:id="rId15" o:title=""/>
                </v:shape>
              </w:pict>
            </w:r>
            <w:r>
              <w:t>82.76%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C.智力技能</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37" type="#_x0000_t75" style="height:9pt;width:10.5pt">
                  <v:imagedata r:id="rId4" o:title=""/>
                </v:shape>
              </w:pict>
            </w:r>
            <w:r>
              <w:pict>
                <v:shape id="_x0000_i1038" type="#_x0000_t75" style="height:9pt;width:96.01pt">
                  <v:imagedata r:id="rId5" o:title=""/>
                </v:shape>
              </w:pict>
            </w:r>
            <w:r>
              <w:t>10.34%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D.言语信息</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9" type="#_x0000_t75" style="height:9pt;width:106.51pt">
                  <v:imagedata r:id="rId16" o:title=""/>
                </v:shape>
              </w:pict>
            </w:r>
            <w:r>
              <w:t>0%</w:t>
            </w:r>
          </w:p>
        </w:tc>
      </w:tr>
    </w:tbl>
    <w:p>
      <w:pPr>
        <w:bidi w:val="0"/>
      </w:pPr>
      <w:r>
        <w:rPr>
          <w:rStyle w:val="DefaultParagraphFont"/>
          <w:bdr w:val="nil"/>
          <w:rtl w:val="0"/>
        </w:rPr>
        <w:t>正确率：</w:t>
      </w:r>
      <w:r>
        <w:rPr>
          <w:rStyle w:val="DefaultParagraphFont"/>
          <w:color w:val="FF6600"/>
          <w:bdr w:val="nil"/>
          <w:rtl w:val="0"/>
        </w:rPr>
        <w:t>82.76%</w:t>
      </w:r>
    </w:p>
    <w:p>
      <w:pPr>
        <w:bidi w:val="0"/>
      </w:pPr>
    </w:p>
    <w:p>
      <w:pPr>
        <w:bidi w:val="0"/>
      </w:pPr>
    </w:p>
    <w:p>
      <w:pPr>
        <w:bidi w:val="0"/>
      </w:pPr>
      <w:r>
        <w:rPr>
          <w:b w:val="0"/>
          <w:color w:val="000000"/>
          <w:sz w:val="24"/>
        </w:rPr>
        <w:t>3.奥苏贝尔对学习进行了分类，接受学习与发现学习和(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A.主动学习与被动学习</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40" type="#_x0000_t75" style="height:9pt;width:10.5pt">
                  <v:imagedata r:id="rId4" o:title=""/>
                </v:shape>
              </w:pict>
            </w:r>
            <w:r>
              <w:pict>
                <v:shape id="_x0000_i1041" type="#_x0000_t75" style="height:9pt;width:96.01pt">
                  <v:imagedata r:id="rId5" o:title=""/>
                </v:shape>
              </w:pict>
            </w:r>
            <w:r>
              <w:t>10.34%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B.机械学习与意义学习</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25</w:t>
            </w:r>
          </w:p>
        </w:tc>
        <w:tc>
          <w:tcPr>
            <w:shd w:val="clear" w:color="auto" w:fill="F9F9F9"/>
            <w:vAlign w:val="center"/>
          </w:tcPr>
          <w:p>
            <w:pPr>
              <w:bidi w:val="0"/>
              <w:jc w:val="left"/>
            </w:pPr>
            <w:r>
              <w:pict>
                <v:shape id="_x0000_i1042" type="#_x0000_t75" style="height:9pt;width:91.51pt">
                  <v:imagedata r:id="rId17" o:title=""/>
                </v:shape>
              </w:pict>
            </w:r>
            <w:r>
              <w:pict>
                <v:shape id="_x0000_i1043" type="#_x0000_t75" style="height:9pt;width:15pt">
                  <v:imagedata r:id="rId18" o:title=""/>
                </v:shape>
              </w:pict>
            </w:r>
            <w:r>
              <w:t>86.21%</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C.连锁学习与辨别学习</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4" type="#_x0000_t75" style="height:9pt;width:3pt">
                  <v:imagedata r:id="rId19" o:title=""/>
                </v:shape>
              </w:pict>
            </w:r>
            <w:r>
              <w:pict>
                <v:shape id="_x0000_i1045" type="#_x0000_t75" style="height:9pt;width:103.51pt">
                  <v:imagedata r:id="rId20" o:title=""/>
                </v:shape>
              </w:pict>
            </w:r>
            <w:r>
              <w:t>3.45%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D.信号学习与概念学习</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6" type="#_x0000_t75" style="height:9pt;width:106.51pt">
                  <v:imagedata r:id="rId16" o:title=""/>
                </v:shape>
              </w:pict>
            </w:r>
            <w:r>
              <w:t>0%</w:t>
            </w:r>
          </w:p>
        </w:tc>
      </w:tr>
    </w:tbl>
    <w:p>
      <w:pPr>
        <w:bidi w:val="0"/>
      </w:pPr>
      <w:r>
        <w:rPr>
          <w:rStyle w:val="DefaultParagraphFont"/>
          <w:bdr w:val="nil"/>
          <w:rtl w:val="0"/>
        </w:rPr>
        <w:t>正确率：</w:t>
      </w:r>
      <w:r>
        <w:rPr>
          <w:rStyle w:val="DefaultParagraphFont"/>
          <w:color w:val="FF6600"/>
          <w:bdr w:val="nil"/>
          <w:rtl w:val="0"/>
        </w:rPr>
        <w:t>86.21%</w:t>
      </w:r>
    </w:p>
    <w:p>
      <w:pPr>
        <w:bidi w:val="0"/>
      </w:pPr>
    </w:p>
    <w:p>
      <w:pPr>
        <w:bidi w:val="0"/>
      </w:pPr>
    </w:p>
    <w:p>
      <w:pPr>
        <w:bidi w:val="0"/>
      </w:pPr>
      <w:r>
        <w:rPr>
          <w:b w:val="0"/>
          <w:color w:val="000000"/>
          <w:sz w:val="24"/>
        </w:rPr>
        <w:t>4.最早提出经典性条件作用的人是(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A.桑代克</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47" type="#_x0000_t75" style="height:9pt;width:6.75pt">
                  <v:imagedata r:id="rId12" o:title=""/>
                </v:shape>
              </w:pict>
            </w:r>
            <w:r>
              <w:pict>
                <v:shape id="_x0000_i1048" type="#_x0000_t75" style="height:9pt;width:99.76pt">
                  <v:imagedata r:id="rId13" o:title=""/>
                </v:shape>
              </w:pict>
            </w:r>
            <w:r>
              <w:t>6.9%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B.斯金纳</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49" type="#_x0000_t75" style="height:9pt;width:10.5pt">
                  <v:imagedata r:id="rId4" o:title=""/>
                </v:shape>
              </w:pict>
            </w:r>
            <w:r>
              <w:pict>
                <v:shape id="_x0000_i1050" type="#_x0000_t75" style="height:9pt;width:96.01pt">
                  <v:imagedata r:id="rId5" o:title=""/>
                </v:shape>
              </w:pict>
            </w:r>
            <w:r>
              <w:t>10.34%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C.巴甫洛夫</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23</w:t>
            </w:r>
          </w:p>
        </w:tc>
        <w:tc>
          <w:tcPr>
            <w:shd w:val="clear" w:color="auto" w:fill="FFFFFF"/>
            <w:vAlign w:val="center"/>
          </w:tcPr>
          <w:p>
            <w:pPr>
              <w:bidi w:val="0"/>
              <w:jc w:val="left"/>
            </w:pPr>
            <w:r>
              <w:pict>
                <v:shape id="_x0000_i1051" type="#_x0000_t75" style="height:9pt;width:84.01pt">
                  <v:imagedata r:id="rId21" o:title=""/>
                </v:shape>
              </w:pict>
            </w:r>
            <w:r>
              <w:pict>
                <v:shape id="_x0000_i1052" type="#_x0000_t75" style="height:9pt;width:22.5pt">
                  <v:imagedata r:id="rId22" o:title=""/>
                </v:shape>
              </w:pict>
            </w:r>
            <w:r>
              <w:t>79.31%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D.苛勒</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53" type="#_x0000_t75" style="height:9pt;width:3pt">
                  <v:imagedata r:id="rId19" o:title=""/>
                </v:shape>
              </w:pict>
            </w:r>
            <w:r>
              <w:pict>
                <v:shape id="_x0000_i1054" type="#_x0000_t75" style="height:9pt;width:103.51pt">
                  <v:imagedata r:id="rId20" o:title=""/>
                </v:shape>
              </w:pict>
            </w:r>
            <w:r>
              <w:t>3.45%</w:t>
            </w:r>
          </w:p>
        </w:tc>
      </w:tr>
    </w:tbl>
    <w:p>
      <w:pPr>
        <w:bidi w:val="0"/>
      </w:pPr>
      <w:r>
        <w:rPr>
          <w:rStyle w:val="DefaultParagraphFont"/>
          <w:bdr w:val="nil"/>
          <w:rtl w:val="0"/>
        </w:rPr>
        <w:t>正确率：</w:t>
      </w:r>
      <w:r>
        <w:rPr>
          <w:rStyle w:val="DefaultParagraphFont"/>
          <w:color w:val="FF6600"/>
          <w:bdr w:val="nil"/>
          <w:rtl w:val="0"/>
        </w:rPr>
        <w:t>79.31%</w:t>
      </w:r>
    </w:p>
    <w:p>
      <w:pPr>
        <w:bidi w:val="0"/>
      </w:pPr>
    </w:p>
    <w:p>
      <w:pPr>
        <w:bidi w:val="0"/>
      </w:pPr>
    </w:p>
    <w:p>
      <w:pPr>
        <w:bidi w:val="0"/>
      </w:pPr>
      <w:r>
        <w:rPr>
          <w:b w:val="0"/>
          <w:color w:val="000000"/>
          <w:sz w:val="24"/>
        </w:rPr>
        <w:t>5.给小狗进食时，同时出现铃声，反复多次之后，小狗听到铃声时也产生唾液分泌，这在心理学上被称为(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A.非条件反射</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55" type="#_x0000_t75" style="height:9pt;width:14.25pt">
                  <v:imagedata r:id="rId6" o:title=""/>
                </v:shape>
              </w:pict>
            </w:r>
            <w:r>
              <w:pict>
                <v:shape id="_x0000_i1056" type="#_x0000_t75" style="height:9pt;width:92.26pt">
                  <v:imagedata r:id="rId7" o:title=""/>
                </v:shape>
              </w:pict>
            </w:r>
            <w:r>
              <w:t>13.79%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B.操作性条件反射</w:t>
            </w:r>
          </w:p>
        </w:tc>
        <w:tc>
          <w:tcPr>
            <w:shd w:val="clear" w:color="auto" w:fill="F9F9F9"/>
            <w:vAlign w:val="center"/>
          </w:tcPr>
          <w:p>
            <w:pPr>
              <w:bidi w:val="0"/>
              <w:jc w:val="center"/>
            </w:pPr>
            <w:r>
              <w:t>14</w:t>
            </w:r>
          </w:p>
        </w:tc>
        <w:tc>
          <w:tcPr>
            <w:shd w:val="clear" w:color="auto" w:fill="F9F9F9"/>
            <w:vAlign w:val="center"/>
          </w:tcPr>
          <w:p>
            <w:pPr>
              <w:bidi w:val="0"/>
              <w:jc w:val="left"/>
            </w:pPr>
            <w:r>
              <w:pict>
                <v:shape id="_x0000_i1057" type="#_x0000_t75" style="height:9pt;width:51.01pt">
                  <v:imagedata r:id="rId23" o:title=""/>
                </v:shape>
              </w:pict>
            </w:r>
            <w:r>
              <w:pict>
                <v:shape id="_x0000_i1058" type="#_x0000_t75" style="height:9pt;width:55.51pt">
                  <v:imagedata r:id="rId24" o:title=""/>
                </v:shape>
              </w:pict>
            </w:r>
            <w:r>
              <w:t>48.28%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C.经典条件反射</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11</w:t>
            </w:r>
          </w:p>
        </w:tc>
        <w:tc>
          <w:tcPr>
            <w:shd w:val="clear" w:color="auto" w:fill="FFFFFF"/>
            <w:vAlign w:val="center"/>
          </w:tcPr>
          <w:p>
            <w:pPr>
              <w:bidi w:val="0"/>
              <w:jc w:val="left"/>
            </w:pPr>
            <w:r>
              <w:pict>
                <v:shape id="_x0000_i1059" type="#_x0000_t75" style="height:9pt;width:39.76pt">
                  <v:imagedata r:id="rId25" o:title=""/>
                </v:shape>
              </w:pict>
            </w:r>
            <w:r>
              <w:pict>
                <v:shape id="_x0000_i1060" type="#_x0000_t75" style="height:9pt;width:66.76pt">
                  <v:imagedata r:id="rId26" o:title=""/>
                </v:shape>
              </w:pict>
            </w:r>
            <w:r>
              <w:t>37.93%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D.先天反射</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61" type="#_x0000_t75" style="height:9pt;width:106.51pt">
                  <v:imagedata r:id="rId16" o:title=""/>
                </v:shape>
              </w:pict>
            </w:r>
            <w:r>
              <w:t>0%</w:t>
            </w:r>
          </w:p>
        </w:tc>
      </w:tr>
    </w:tbl>
    <w:p>
      <w:pPr>
        <w:bidi w:val="0"/>
      </w:pPr>
      <w:r>
        <w:rPr>
          <w:rStyle w:val="DefaultParagraphFont"/>
          <w:bdr w:val="nil"/>
          <w:rtl w:val="0"/>
        </w:rPr>
        <w:t>正确率：</w:t>
      </w:r>
      <w:r>
        <w:rPr>
          <w:rStyle w:val="DefaultParagraphFont"/>
          <w:color w:val="FF6600"/>
          <w:bdr w:val="nil"/>
          <w:rtl w:val="0"/>
        </w:rPr>
        <w:t>37.93%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