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教师招聘每日一练（11月18日）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1.课程元素包括课程目标、课程内容、( )和课程评价。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A.课程方案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9.5pt">
                  <v:imagedata r:id="rId4" o:title=""/>
                </v:shape>
              </w:pict>
            </w:r>
            <w:r>
              <w:pict>
                <v:shape id="_x0000_i1026" type="#_x0000_t75" style="height:9pt;width:87.01pt">
                  <v:imagedata r:id="rId5" o:title=""/>
                </v:shape>
              </w:pict>
            </w:r>
            <w:r>
              <w:t>18.42%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B.课程纲要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C.课程指南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D.课程实施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86.26pt">
                  <v:imagedata r:id="rId7" o:title=""/>
                </v:shape>
              </w:pict>
            </w:r>
            <w:r>
              <w:pict>
                <v:shape id="_x0000_i1030" type="#_x0000_t75" style="height:9pt;width:20.25pt">
                  <v:imagedata r:id="rId8" o:title=""/>
                </v:shape>
              </w:pict>
            </w:r>
            <w:r>
              <w:t>81.58%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81.58%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2.根据课程制定者的不同，课程可分为国家课程、地方课程和(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A.校长课程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B.校本课程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9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C.学生课程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D.教师课程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3.以下不属于学校组织和制度文化主要表达方式的是(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A.组织形态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6.5pt">
                  <v:imagedata r:id="rId10" o:title=""/>
                </v:shape>
              </w:pict>
            </w:r>
            <w:r>
              <w:pict>
                <v:shape id="_x0000_i1036" type="#_x0000_t75" style="height:9pt;width:90.01pt">
                  <v:imagedata r:id="rId11" o:title=""/>
                </v:shape>
              </w:pict>
            </w:r>
            <w:r>
              <w:t>15.79%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B.规章制度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2.25pt">
                  <v:imagedata r:id="rId12" o:title=""/>
                </v:shape>
              </w:pict>
            </w:r>
            <w:r>
              <w:pict>
                <v:shape id="_x0000_i1038" type="#_x0000_t75" style="height:9pt;width:104.26pt">
                  <v:imagedata r:id="rId13" o:title=""/>
                </v:shape>
              </w:pict>
            </w:r>
            <w:r>
              <w:t>2.63%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C.角色规范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9.01pt">
                  <v:imagedata r:id="rId14" o:title=""/>
                </v:shape>
              </w:pict>
            </w:r>
            <w:r>
              <w:pict>
                <v:shape id="_x0000_i1040" type="#_x0000_t75" style="height:9pt;width:67.51pt">
                  <v:imagedata r:id="rId15" o:title=""/>
                </v:shape>
              </w:pict>
            </w:r>
            <w:r>
              <w:t>36.84%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D.教师文化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47.26pt">
                  <v:imagedata r:id="rId16" o:title=""/>
                </v:shape>
              </w:pict>
            </w:r>
            <w:r>
              <w:pict>
                <v:shape id="_x0000_i1042" type="#_x0000_t75" style="height:9pt;width:59.26pt">
                  <v:imagedata r:id="rId17" o:title=""/>
                </v:shape>
              </w:pict>
            </w:r>
            <w:r>
              <w:t>44.74%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44.74%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4.适用于多学科、多领域的一般解决问题的策略也被称为(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A.强方法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6.5pt">
                  <v:imagedata r:id="rId10" o:title=""/>
                </v:shape>
              </w:pict>
            </w:r>
            <w:r>
              <w:pict>
                <v:shape id="_x0000_i1044" type="#_x0000_t75" style="height:9pt;width:90.01pt">
                  <v:imagedata r:id="rId11" o:title=""/>
                </v:shape>
              </w:pict>
            </w:r>
            <w:r>
              <w:t>15.79%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B.弱方法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2.25pt">
                  <v:imagedata r:id="rId12" o:title=""/>
                </v:shape>
              </w:pict>
            </w:r>
            <w:r>
              <w:pict>
                <v:shape id="_x0000_i1046" type="#_x0000_t75" style="height:9pt;width:104.26pt">
                  <v:imagedata r:id="rId13" o:title=""/>
                </v:shape>
              </w:pict>
            </w:r>
            <w:r>
              <w:t>2.63%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C.一般方法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81.01pt">
                  <v:imagedata r:id="rId18" o:title=""/>
                </v:shape>
              </w:pict>
            </w:r>
            <w:r>
              <w:pict>
                <v:shape id="_x0000_i1048" type="#_x0000_t75" style="height:9pt;width:25.5pt">
                  <v:imagedata r:id="rId19" o:title=""/>
                </v:shape>
              </w:pict>
            </w:r>
            <w:r>
              <w:t>76.32%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D.特定方法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5.25pt">
                  <v:imagedata r:id="rId20" o:title=""/>
                </v:shape>
              </w:pict>
            </w:r>
            <w:r>
              <w:pict>
                <v:shape id="_x0000_i1050" type="#_x0000_t75" style="height:9pt;width:101.26pt">
                  <v:imagedata r:id="rId21" o:title=""/>
                </v:shape>
              </w:pict>
            </w:r>
            <w:r>
              <w:t>5.26%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2.63%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5.适应性教学是针对学生的个别差异而提出的。这种教学有三个目的:实现学业平等，消除个别差异，以及(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A.激发学习者的学习兴趣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69.76pt">
                  <v:imagedata r:id="rId22" o:title=""/>
                </v:shape>
              </w:pict>
            </w:r>
            <w:r>
              <w:pict>
                <v:shape id="_x0000_i1052" type="#_x0000_t75" style="height:9pt;width:36.76pt">
                  <v:imagedata r:id="rId23" o:title=""/>
                </v:shape>
              </w:pict>
            </w:r>
            <w:r>
              <w:t>65.79%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B.减少课程难度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5.25pt">
                  <v:imagedata r:id="rId20" o:title=""/>
                </v:shape>
              </w:pict>
            </w:r>
            <w:r>
              <w:pict>
                <v:shape id="_x0000_i1054" type="#_x0000_t75" style="height:9pt;width:101.26pt">
                  <v:imagedata r:id="rId21" o:title=""/>
                </v:shape>
              </w:pict>
            </w:r>
            <w:r>
              <w:t>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C.加快课程进度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D.使学习者取得的结果最大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30.75pt">
                  <v:imagedata r:id="rId24" o:title=""/>
                </v:shape>
              </w:pict>
            </w:r>
            <w:r>
              <w:pict>
                <v:shape id="_x0000_i1057" type="#_x0000_t75" style="height:9pt;width:75.76pt">
                  <v:imagedata r:id="rId25" o:title=""/>
                </v:shape>
              </w:pict>
            </w:r>
            <w:r>
              <w:t>28.95%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28.95%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