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3.由后天学习决定的，与社会文化有密切联系的能力是( )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1004"/>
        <w:gridCol w:w="449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A.一般能力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09575" cy="11430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42975" cy="114300"/>
                  <wp:effectExtent l="0" t="0" r="9525" b="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30.77%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B.特殊能力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57175" cy="114300"/>
                  <wp:effectExtent l="0" t="0" r="9525" b="0"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95375" cy="11430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19.23%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C.晶体能力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00025" cy="114300"/>
                  <wp:effectExtent l="0" t="0" r="9525" b="0"/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52525" cy="114300"/>
                  <wp:effectExtent l="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15.38%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D.流体能力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66725" cy="114300"/>
                  <wp:effectExtent l="0" t="0" r="9525" b="0"/>
                  <wp:docPr id="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85825" cy="114300"/>
                  <wp:effectExtent l="0" t="0" r="9525" b="0"/>
                  <wp:docPr id="7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34.62%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15.38%</w:t>
      </w:r>
    </w:p>
    <w:p>
      <w:pPr>
        <w:bidi w:val="0"/>
      </w:pPr>
      <w:r>
        <w:rPr>
          <w:b w:val="0"/>
          <w:color w:val="000000"/>
          <w:sz w:val="24"/>
        </w:rPr>
        <w:t xml:space="preserve">5.智商也叫智力商数(intelligence quotient)，常用IQ表示，计算智商的公式为(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9"/>
        <w:gridCol w:w="811"/>
        <w:gridCol w:w="3632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A.智商=(智龄÷实龄)×100%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723900" cy="1143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28650" cy="1143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53.85%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B.智商=(实龄÷智龄)×100%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57175" cy="114300"/>
                  <wp:effectExtent l="0" t="0" r="952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95375" cy="114300"/>
                  <wp:effectExtent l="0" t="0" r="952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19.23%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C.智商=(智龄÷实龄)×100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26.92%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D.智商=(实龄÷智龄)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26.92%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4.适用于多学科、多领域的一般解决问题的策略也被称为(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052"/>
        <w:gridCol w:w="466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A.强方法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09550" cy="114300"/>
                  <wp:effectExtent l="0" t="0" r="0" b="0"/>
                  <wp:docPr id="2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43000" cy="114300"/>
                  <wp:effectExtent l="0" t="0" r="0" b="0"/>
                  <wp:docPr id="2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15.79%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B.弱方法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9525" b="0"/>
                  <wp:docPr id="16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9525" b="0"/>
                  <wp:docPr id="17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2.63%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C.一般方法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028700" cy="114300"/>
                  <wp:effectExtent l="0" t="0" r="0" b="0"/>
                  <wp:docPr id="23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23850" cy="114300"/>
                  <wp:effectExtent l="0" t="0" r="0" b="0"/>
                  <wp:docPr id="18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76.32%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D.特定方法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6675" cy="114300"/>
                  <wp:effectExtent l="0" t="0" r="9525" b="0"/>
                  <wp:docPr id="20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85875" cy="114300"/>
                  <wp:effectExtent l="0" t="0" r="9525" b="0"/>
                  <wp:docPr id="19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5.26%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2.63%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5.适应性教学是针对学生的个别差异而提出的。这种教学有三个目的:实现学业平等，消除个别差异，以及(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9"/>
        <w:gridCol w:w="780"/>
        <w:gridCol w:w="3493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A.激发学习者的学习兴趣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85825" cy="114300"/>
                  <wp:effectExtent l="0" t="0" r="9525" b="0"/>
                  <wp:docPr id="25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66725" cy="114300"/>
                  <wp:effectExtent l="0" t="0" r="9525" b="0"/>
                  <wp:docPr id="30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65.79%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B.减少课程难度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6675" cy="114300"/>
                  <wp:effectExtent l="0" t="0" r="9525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85875" cy="114300"/>
                  <wp:effectExtent l="0" t="0" r="9525" b="0"/>
                  <wp:docPr id="29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5.26%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C.加快课程进度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24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D.使学习者取得的结果最大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90525" cy="114300"/>
                  <wp:effectExtent l="0" t="0" r="9525" b="0"/>
                  <wp:docPr id="27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62025" cy="114300"/>
                  <wp:effectExtent l="0" t="0" r="9525" b="0"/>
                  <wp:docPr id="28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28.95%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28.95%</w:t>
      </w:r>
    </w:p>
    <w:p>
      <w:pPr>
        <w:bidi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006C8"/>
    <w:rsid w:val="5610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2021-12-01T02:55:00Z</dcterms:created>
  <dc:creator>Lonely</dc:creator>
  <cp:lastModifiedBy>Lonely</cp:lastModifiedBy>
  <dcterms:modified xsi:type="dcterms:W3CDTF">2021-12-01T03:08:57Z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A3B5B300581B49ADABAFC31038E9318F</vt:lpwstr>
  </property>
</Properties>
</file>