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教师招聘每日一练（12月2日）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1.知道“三角形的内角和等于180度”属于(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A.策略性知识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B.陈述性知识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6" type="#_x0000_t75" style="height:9pt;width:84.01pt">
                  <v:imagedata r:id="rId5" o:title=""/>
                </v:shape>
              </w:pict>
            </w:r>
            <w:r>
              <w:pict>
                <v:shape id="_x0000_i1027" type="#_x0000_t75" style="height:9pt;width:22.5pt">
                  <v:imagedata r:id="rId6" o:title=""/>
                </v:shape>
              </w:pict>
            </w:r>
            <w:r>
              <w:t>78.95%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C.条件性知识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8" type="#_x0000_t75" style="height:9pt;width:13.5pt">
                  <v:imagedata r:id="rId7" o:title=""/>
                </v:shape>
              </w:pict>
            </w:r>
            <w:r>
              <w:pict>
                <v:shape id="_x0000_i1029" type="#_x0000_t75" style="height:9pt;width:93.01pt">
                  <v:imagedata r:id="rId8" o:title=""/>
                </v:shape>
              </w:pict>
            </w:r>
            <w:r>
              <w:t>13.16%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D.程序性知识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0" type="#_x0000_t75" style="height:9pt;width:8.25pt">
                  <v:imagedata r:id="rId9" o:title=""/>
                </v:shape>
              </w:pict>
            </w:r>
            <w:r>
              <w:pict>
                <v:shape id="_x0000_i1031" type="#_x0000_t75" style="height:9pt;width:98.26pt">
                  <v:imagedata r:id="rId10" o:title=""/>
                </v:shape>
              </w:pict>
            </w:r>
            <w:r>
              <w:t>7.89%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78.95%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2.学会写“木”、“石”、“口”，有助于学习写“森”、“磊”、“品”，这是一种(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A.顺向迁移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2" type="#_x0000_t75" style="height:9pt;width:42.01pt">
                  <v:imagedata r:id="rId11" o:title=""/>
                </v:shape>
              </w:pict>
            </w:r>
            <w:r>
              <w:pict>
                <v:shape id="_x0000_i1033" type="#_x0000_t75" style="height:9pt;width:64.51pt">
                  <v:imagedata r:id="rId12" o:title=""/>
                </v:shape>
              </w:pict>
            </w:r>
            <w:r>
              <w:t>39.47%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B.水平迁移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4" type="#_x0000_t75" style="height:9pt;width:5.25pt">
                  <v:imagedata r:id="rId13" o:title=""/>
                </v:shape>
              </w:pict>
            </w:r>
            <w:r>
              <w:pict>
                <v:shape id="_x0000_i1035" type="#_x0000_t75" style="height:9pt;width:101.26pt">
                  <v:imagedata r:id="rId14" o:title=""/>
                </v:shape>
              </w:pict>
            </w:r>
            <w:r>
              <w:t>5.26%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C.一般迁移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6" type="#_x0000_t75" style="height:9pt;width:13.5pt">
                  <v:imagedata r:id="rId7" o:title=""/>
                </v:shape>
              </w:pict>
            </w:r>
            <w:r>
              <w:pict>
                <v:shape id="_x0000_i1037" type="#_x0000_t75" style="height:9pt;width:93.01pt">
                  <v:imagedata r:id="rId8" o:title=""/>
                </v:shape>
              </w:pict>
            </w:r>
            <w:r>
              <w:t>13.16%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D.具体迁移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16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8" type="#_x0000_t75" style="height:9pt;width:44.26pt">
                  <v:imagedata r:id="rId15" o:title=""/>
                </v:shape>
              </w:pict>
            </w:r>
            <w:r>
              <w:pict>
                <v:shape id="_x0000_i1039" type="#_x0000_t75" style="height:9pt;width:62.26pt">
                  <v:imagedata r:id="rId16" o:title=""/>
                </v:shape>
              </w:pict>
            </w:r>
            <w:r>
              <w:t>42.11%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42.11%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3.教育制度在废止之前要求个体必须无条件地遵守，这说明教育制度具有一定的(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A.客观性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2.25pt">
                  <v:imagedata r:id="rId17" o:title=""/>
                </v:shape>
              </w:pict>
            </w:r>
            <w:r>
              <w:pict>
                <v:shape id="_x0000_i1041" type="#_x0000_t75" style="height:9pt;width:104.26pt">
                  <v:imagedata r:id="rId18" o:title=""/>
                </v:shape>
              </w:pict>
            </w:r>
            <w:r>
              <w:t>2.63%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B.强制性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103.51pt">
                  <v:imagedata r:id="rId19" o:title=""/>
                </v:shape>
              </w:pict>
            </w:r>
            <w:r>
              <w:pict>
                <v:shape id="_x0000_i1043" type="#_x0000_t75" style="height:9pt;width:3pt">
                  <v:imagedata r:id="rId20" o:title=""/>
                </v:shape>
              </w:pict>
            </w:r>
            <w:r>
              <w:t>97.37%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C.价值性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D.教育性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97.37%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4.为了准备两个月后的高考，小轩从寝室搬了出来，在学校附近一个安静的小区里租了一个单间认真备考。小轩的行为属于学习策略中的(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A.组织策略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2.25pt">
                  <v:imagedata r:id="rId17" o:title=""/>
                </v:shape>
              </w:pict>
            </w:r>
            <w:r>
              <w:pict>
                <v:shape id="_x0000_i1047" type="#_x0000_t75" style="height:9pt;width:104.26pt">
                  <v:imagedata r:id="rId18" o:title=""/>
                </v:shape>
              </w:pict>
            </w:r>
            <w:r>
              <w:t>2.63%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B.计划策略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13.5pt">
                  <v:imagedata r:id="rId7" o:title=""/>
                </v:shape>
              </w:pict>
            </w:r>
            <w:r>
              <w:pict>
                <v:shape id="_x0000_i1049" type="#_x0000_t75" style="height:9pt;width:93.01pt">
                  <v:imagedata r:id="rId8" o:title=""/>
                </v:shape>
              </w:pict>
            </w:r>
            <w:r>
              <w:t>13.16%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C.调节策略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30.75pt">
                  <v:imagedata r:id="rId21" o:title=""/>
                </v:shape>
              </w:pict>
            </w:r>
            <w:r>
              <w:pict>
                <v:shape id="_x0000_i1051" type="#_x0000_t75" style="height:9pt;width:75.76pt">
                  <v:imagedata r:id="rId22" o:title=""/>
                </v:shape>
              </w:pict>
            </w:r>
            <w:r>
              <w:t>28.95%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D.资源管理策略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58.51pt">
                  <v:imagedata r:id="rId23" o:title=""/>
                </v:shape>
              </w:pict>
            </w:r>
            <w:r>
              <w:pict>
                <v:shape id="_x0000_i1053" type="#_x0000_t75" style="height:9pt;width:48.01pt">
                  <v:imagedata r:id="rId24" o:title=""/>
                </v:shape>
              </w:pict>
            </w:r>
            <w:r>
              <w:t>55.26%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55.26%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5.随着世界经济与社会的发展，学校教育内容和规模不断增扩，为提高教学效率，培养更多实用人才，班级授课制出现并被推广应用。中国正式采用班级授课制是在(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A.南宋末年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16.5pt">
                  <v:imagedata r:id="rId25" o:title=""/>
                </v:shape>
              </w:pict>
            </w:r>
            <w:r>
              <w:pict>
                <v:shape id="_x0000_i1055" type="#_x0000_t75" style="height:9pt;width:90.01pt">
                  <v:imagedata r:id="rId26" o:title=""/>
                </v:shape>
              </w:pict>
            </w:r>
            <w:r>
              <w:t>15.79%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B.明朝中期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5.25pt">
                  <v:imagedata r:id="rId13" o:title=""/>
                </v:shape>
              </w:pict>
            </w:r>
            <w:r>
              <w:pict>
                <v:shape id="_x0000_i1057" type="#_x0000_t75" style="height:9pt;width:101.26pt">
                  <v:imagedata r:id="rId14" o:title=""/>
                </v:shape>
              </w:pict>
            </w:r>
            <w:r>
              <w:t>5.26%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C.清朝末年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8" type="#_x0000_t75" style="height:9pt;width:61.51pt">
                  <v:imagedata r:id="rId27" o:title=""/>
                </v:shape>
              </w:pict>
            </w:r>
            <w:r>
              <w:pict>
                <v:shape id="_x0000_i1059" type="#_x0000_t75" style="height:9pt;width:45.01pt">
                  <v:imagedata r:id="rId28" o:title=""/>
                </v:shape>
              </w:pict>
            </w:r>
            <w:r>
              <w:t>57.89%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D.辛亥革命以后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8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60" type="#_x0000_t75" style="height:9pt;width:21.75pt">
                  <v:imagedata r:id="rId29" o:title=""/>
                </v:shape>
              </w:pict>
            </w:r>
            <w:r>
              <w:pict>
                <v:shape id="_x0000_i1061" type="#_x0000_t75" style="height:9pt;width:84.76pt">
                  <v:imagedata r:id="rId30" o:title=""/>
                </v:shape>
              </w:pict>
            </w:r>
            <w:r>
              <w:t>21.05%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57.89%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