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教师招聘每日一练（12月8日）</w:t>
      </w:r>
    </w:p>
    <w:p w:rsidR="00A77B3E">
      <w:pPr>
        <w:rPr>
          <w:b/>
          <w:sz w:val="32"/>
        </w:rPr>
      </w:pPr>
      <w:r>
        <w:rPr>
          <w:b w:val="0"/>
          <w:color w:val="000000"/>
          <w:sz w:val="24"/>
        </w:rPr>
        <w:t>1.对教材进行教学法上的加工处理，研究教材的基本思想、重点、难点，确定本节课的具体教学目标，课的进行步骤等，这属于备课中的(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A.学期计划</w:t>
            </w:r>
          </w:p>
        </w:tc>
        <w:tc>
          <w:tcPr>
            <w:shd w:val="clear" w:color="auto" w:fill="FFFFFF"/>
            <w:vAlign w:val="center"/>
          </w:tcPr>
          <w:p>
            <w:pPr>
              <w:jc w:val="center"/>
            </w:pPr>
            <w:r>
              <w:t>1</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2.25pt">
                  <v:imagedata r:id="rId4" o:title=""/>
                </v:shape>
              </w:pict>
            </w:r>
            <w:r>
              <w:pict>
                <v:shape id="_x0000_i1026" type="#_x0000_t75" style="height:9pt;width:104.26pt">
                  <v:imagedata r:id="rId5" o:title=""/>
                </v:shape>
              </w:pict>
            </w:r>
            <w:r>
              <w:t>2.22%</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B.课题计划</w:t>
            </w:r>
          </w:p>
        </w:tc>
        <w:tc>
          <w:tcPr>
            <w:shd w:val="clear" w:color="auto" w:fill="F9F9F9"/>
            <w:vAlign w:val="center"/>
          </w:tcPr>
          <w:p>
            <w:pPr>
              <w:jc w:val="center"/>
            </w:pPr>
            <w:r>
              <w:t>6</w:t>
            </w:r>
          </w:p>
        </w:tc>
        <w:tc>
          <w:tcPr>
            <w:shd w:val="clear" w:color="auto" w:fill="F9F9F9"/>
            <w:vAlign w:val="center"/>
          </w:tcPr>
          <w:p>
            <w:pPr>
              <w:jc w:val="left"/>
            </w:pPr>
            <w:r>
              <w:pict>
                <v:shape id="_x0000_i1027" type="#_x0000_t75" style="height:9pt;width:13.5pt">
                  <v:imagedata r:id="rId6" o:title=""/>
                </v:shape>
              </w:pict>
            </w:r>
            <w:r>
              <w:pict>
                <v:shape id="_x0000_i1028" type="#_x0000_t75" style="height:9pt;width:93.01pt">
                  <v:imagedata r:id="rId7" o:title=""/>
                </v:shape>
              </w:pict>
            </w:r>
            <w:r>
              <w:t>13.33%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C.课时计划</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38</w:t>
            </w:r>
          </w:p>
        </w:tc>
        <w:tc>
          <w:tcPr>
            <w:shd w:val="clear" w:color="auto" w:fill="FFFFFF"/>
            <w:vAlign w:val="center"/>
          </w:tcPr>
          <w:p>
            <w:pPr>
              <w:bidi w:val="0"/>
              <w:jc w:val="left"/>
            </w:pPr>
            <w:r>
              <w:pict>
                <v:shape id="_x0000_i1029" type="#_x0000_t75" style="height:9pt;width:89.26pt">
                  <v:imagedata r:id="rId8" o:title=""/>
                </v:shape>
              </w:pict>
            </w:r>
            <w:r>
              <w:pict>
                <v:shape id="_x0000_i1030" type="#_x0000_t75" style="height:9pt;width:17.25pt">
                  <v:imagedata r:id="rId9" o:title=""/>
                </v:shape>
              </w:pict>
            </w:r>
            <w:r>
              <w:t>84.44%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D.学年计划</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1"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84.44%</w:t>
      </w:r>
    </w:p>
    <w:p>
      <w:pPr>
        <w:bidi w:val="0"/>
      </w:pPr>
    </w:p>
    <w:p>
      <w:pPr>
        <w:bidi w:val="0"/>
      </w:pPr>
    </w:p>
    <w:p>
      <w:pPr>
        <w:bidi w:val="0"/>
      </w:pPr>
      <w:r>
        <w:rPr>
          <w:b w:val="0"/>
          <w:color w:val="000000"/>
          <w:sz w:val="24"/>
        </w:rPr>
        <w:t>2.通过教学活动，学生可以“上知天文，下知地理”，这说明学生认识的对象是(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A.具体的</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32" type="#_x0000_t75" style="height:9pt;width:16.5pt">
                  <v:imagedata r:id="rId11" o:title=""/>
                </v:shape>
              </w:pict>
            </w:r>
            <w:r>
              <w:pict>
                <v:shape id="_x0000_i1033" type="#_x0000_t75" style="height:9pt;width:90.01pt">
                  <v:imagedata r:id="rId12" o:title=""/>
                </v:shape>
              </w:pict>
            </w:r>
            <w:r>
              <w:t>15.56%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B.直接的</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34" type="#_x0000_t75" style="height:9pt;width:11.25pt">
                  <v:imagedata r:id="rId13" o:title=""/>
                </v:shape>
              </w:pict>
            </w:r>
            <w:r>
              <w:pict>
                <v:shape id="_x0000_i1035" type="#_x0000_t75" style="height:9pt;width:95.26pt">
                  <v:imagedata r:id="rId14" o:title=""/>
                </v:shape>
              </w:pict>
            </w:r>
            <w:r>
              <w:t>11.11%</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C.模糊的</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36" type="#_x0000_t75" style="height:9pt;width:6.75pt">
                  <v:imagedata r:id="rId15" o:title=""/>
                </v:shape>
              </w:pict>
            </w:r>
            <w:r>
              <w:pict>
                <v:shape id="_x0000_i1037" type="#_x0000_t75" style="height:9pt;width:99.76pt">
                  <v:imagedata r:id="rId16" o:title=""/>
                </v:shape>
              </w:pict>
            </w:r>
            <w:r>
              <w:t>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D.间接的</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30</w:t>
            </w:r>
          </w:p>
        </w:tc>
        <w:tc>
          <w:tcPr>
            <w:shd w:val="clear" w:color="auto" w:fill="F9F9F9"/>
            <w:vAlign w:val="center"/>
          </w:tcPr>
          <w:p>
            <w:pPr>
              <w:bidi w:val="0"/>
              <w:jc w:val="left"/>
            </w:pPr>
            <w:r>
              <w:pict>
                <v:shape id="_x0000_i1038" type="#_x0000_t75" style="height:9pt;width:70.51pt">
                  <v:imagedata r:id="rId17" o:title=""/>
                </v:shape>
              </w:pict>
            </w:r>
            <w:r>
              <w:pict>
                <v:shape id="_x0000_i1039" type="#_x0000_t75" style="height:9pt;width:36.01pt">
                  <v:imagedata r:id="rId18" o:title=""/>
                </v:shape>
              </w:pict>
            </w:r>
            <w:r>
              <w:t>66.67%</w:t>
            </w:r>
          </w:p>
        </w:tc>
      </w:tr>
    </w:tbl>
    <w:p>
      <w:pPr>
        <w:bidi w:val="0"/>
      </w:pPr>
      <w:r>
        <w:rPr>
          <w:rStyle w:val="DefaultParagraphFont"/>
          <w:bdr w:val="nil"/>
          <w:rtl w:val="0"/>
        </w:rPr>
        <w:t>正确率：</w:t>
      </w:r>
      <w:r>
        <w:rPr>
          <w:rStyle w:val="DefaultParagraphFont"/>
          <w:color w:val="FF6600"/>
          <w:bdr w:val="nil"/>
          <w:rtl w:val="0"/>
        </w:rPr>
        <w:t>66.67%</w:t>
      </w:r>
    </w:p>
    <w:p>
      <w:pPr>
        <w:bidi w:val="0"/>
      </w:pPr>
    </w:p>
    <w:p>
      <w:pPr>
        <w:bidi w:val="0"/>
      </w:pPr>
    </w:p>
    <w:p>
      <w:pPr>
        <w:bidi w:val="0"/>
      </w:pPr>
      <w:r>
        <w:rPr>
          <w:b w:val="0"/>
          <w:color w:val="000000"/>
          <w:sz w:val="24"/>
        </w:rPr>
        <w:t>3.教师在课堂上采用小组讨论的教学方法，重点是培养学生(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A.搜集信息的能力</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0"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B.交流、协作和表达的能力</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45</w:t>
            </w:r>
          </w:p>
        </w:tc>
        <w:tc>
          <w:tcPr>
            <w:shd w:val="clear" w:color="auto" w:fill="F9F9F9"/>
            <w:vAlign w:val="center"/>
          </w:tcPr>
          <w:p>
            <w:pPr>
              <w:bidi w:val="0"/>
              <w:jc w:val="left"/>
            </w:pPr>
            <w:r>
              <w:pict>
                <v:shape id="_x0000_i1041" type="#_x0000_t75" style="height:9pt;width:106.51pt">
                  <v:imagedata r:id="rId19" o:title=""/>
                </v:shape>
              </w:pict>
            </w:r>
            <w:r>
              <w:t>100%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C.创新能力</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2"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D.解决问题的能力</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3"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r>
        <w:rPr>
          <w:b w:val="0"/>
          <w:color w:val="000000"/>
          <w:sz w:val="24"/>
        </w:rPr>
        <w:t>4.“一个坏的教师奉送真理，一个好的教师则教人发现真理”。这体现了教学的(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A.直观性原则</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4"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B.系统性原则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5"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C.启发性原则</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45</w:t>
            </w:r>
          </w:p>
        </w:tc>
        <w:tc>
          <w:tcPr>
            <w:shd w:val="clear" w:color="auto" w:fill="FFFFFF"/>
            <w:vAlign w:val="center"/>
          </w:tcPr>
          <w:p>
            <w:pPr>
              <w:bidi w:val="0"/>
              <w:jc w:val="left"/>
            </w:pPr>
            <w:r>
              <w:pict>
                <v:shape id="_x0000_i1046" type="#_x0000_t75" style="height:9pt;width:106.51pt">
                  <v:imagedata r:id="rId19" o:title=""/>
                </v:shape>
              </w:pict>
            </w:r>
            <w:r>
              <w:t>100%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D.巩固性原则</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7"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100%</w:t>
      </w:r>
    </w:p>
    <w:p>
      <w:pPr>
        <w:bidi w:val="0"/>
      </w:pPr>
    </w:p>
    <w:p>
      <w:pPr>
        <w:bidi w:val="0"/>
      </w:pPr>
    </w:p>
    <w:p>
      <w:pPr>
        <w:bidi w:val="0"/>
      </w:pPr>
      <w:r>
        <w:rPr>
          <w:b w:val="0"/>
          <w:color w:val="000000"/>
          <w:sz w:val="24"/>
        </w:rPr>
        <w:t>5.主要是侧重评价学生在科学知识方面学习成就的高低或在认知能力方面发展的强弱，可以同一时间测试很多学生，但对学生的非认知因素无法测量的评价方式是(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A.纸笔测验</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34</w:t>
            </w:r>
          </w:p>
        </w:tc>
        <w:tc>
          <w:tcPr>
            <w:shd w:val="clear" w:color="auto" w:fill="FFFFFF"/>
            <w:vAlign w:val="center"/>
          </w:tcPr>
          <w:p>
            <w:pPr>
              <w:bidi w:val="0"/>
              <w:jc w:val="left"/>
            </w:pPr>
            <w:r>
              <w:pict>
                <v:shape id="_x0000_i1048" type="#_x0000_t75" style="height:9pt;width:80.26pt">
                  <v:imagedata r:id="rId20" o:title=""/>
                </v:shape>
              </w:pict>
            </w:r>
            <w:r>
              <w:pict>
                <v:shape id="_x0000_i1049" type="#_x0000_t75" style="height:9pt;width:26.25pt">
                  <v:imagedata r:id="rId21" o:title=""/>
                </v:shape>
              </w:pict>
            </w:r>
            <w:r>
              <w:t>75.56%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B.表现性评价</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50" type="#_x0000_t75" style="height:9pt;width:2.25pt">
                  <v:imagedata r:id="rId4" o:title=""/>
                </v:shape>
              </w:pict>
            </w:r>
            <w:r>
              <w:pict>
                <v:shape id="_x0000_i1051" type="#_x0000_t75" style="height:9pt;width:104.26pt">
                  <v:imagedata r:id="rId5" o:title=""/>
                </v:shape>
              </w:pict>
            </w:r>
            <w:r>
              <w:t>2.22%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C.档案袋评价</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2" type="#_x0000_t75" style="height:9pt;width:9pt">
                  <v:imagedata r:id="rId22" o:title=""/>
                </v:shape>
              </w:pict>
            </w:r>
            <w:r>
              <w:pict>
                <v:shape id="_x0000_i1053" type="#_x0000_t75" style="height:9pt;width:97.51pt">
                  <v:imagedata r:id="rId23" o:title=""/>
                </v:shape>
              </w:pict>
            </w:r>
            <w:r>
              <w:t>8.89%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D.观察性评价</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54" type="#_x0000_t75" style="height:9pt;width:13.5pt">
                  <v:imagedata r:id="rId6" o:title=""/>
                </v:shape>
              </w:pict>
            </w:r>
            <w:r>
              <w:pict>
                <v:shape id="_x0000_i1055" type="#_x0000_t75" style="height:9pt;width:93.01pt">
                  <v:imagedata r:id="rId7" o:title=""/>
                </v:shape>
              </w:pict>
            </w:r>
            <w:r>
              <w:t>13.33%</w:t>
            </w:r>
          </w:p>
        </w:tc>
      </w:tr>
    </w:tbl>
    <w:p>
      <w:pPr>
        <w:bidi w:val="0"/>
      </w:pPr>
      <w:r>
        <w:rPr>
          <w:rStyle w:val="DefaultParagraphFont"/>
          <w:bdr w:val="nil"/>
          <w:rtl w:val="0"/>
        </w:rPr>
        <w:t>正确率：</w:t>
      </w:r>
      <w:r>
        <w:rPr>
          <w:rStyle w:val="DefaultParagraphFont"/>
          <w:color w:val="FF6600"/>
          <w:bdr w:val="nil"/>
          <w:rtl w:val="0"/>
        </w:rPr>
        <w:t>75.56%</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