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教师招聘每日一练（12月14日）</w:t>
      </w:r>
    </w:p>
    <w:p w:rsidR="00A77B3E">
      <w:pPr>
        <w:rPr>
          <w:b/>
          <w:sz w:val="32"/>
        </w:rPr>
      </w:pPr>
      <w:r>
        <w:rPr>
          <w:b w:val="0"/>
          <w:color w:val="000000"/>
          <w:sz w:val="24"/>
        </w:rPr>
        <w:t>1.下列教学评价的类型中，( )一般是在教学活动告一段落时为把握教学活动最终效果而进行的评价，又称事后评价。</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A.形成性评价</w:t>
            </w:r>
          </w:p>
        </w:tc>
        <w:tc>
          <w:tcPr>
            <w:shd w:val="clear" w:color="auto" w:fill="FFFFFF"/>
            <w:vAlign w:val="center"/>
          </w:tcPr>
          <w:p>
            <w:pPr>
              <w:jc w:val="center"/>
            </w:pPr>
            <w:r>
              <w:t>6</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14.25pt">
                  <v:imagedata r:id="rId4" o:title=""/>
                </v:shape>
              </w:pict>
            </w:r>
            <w:r>
              <w:pict>
                <v:shape id="_x0000_i1026" type="#_x0000_t75" style="height:9pt;width:92.26pt">
                  <v:imagedata r:id="rId5" o:title=""/>
                </v:shape>
              </w:pict>
            </w:r>
            <w:r>
              <w:t>13.64%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B.总结性评价</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33</w:t>
            </w:r>
          </w:p>
        </w:tc>
        <w:tc>
          <w:tcPr>
            <w:shd w:val="clear" w:color="auto" w:fill="F9F9F9"/>
            <w:vAlign w:val="center"/>
          </w:tcPr>
          <w:p>
            <w:pPr>
              <w:bidi w:val="0"/>
              <w:jc w:val="left"/>
            </w:pPr>
            <w:r>
              <w:pict>
                <v:shape id="_x0000_i1027" type="#_x0000_t75" style="height:9pt;width:79.51pt">
                  <v:imagedata r:id="rId6" o:title=""/>
                </v:shape>
              </w:pict>
            </w:r>
            <w:r>
              <w:pict>
                <v:shape id="_x0000_i1028" type="#_x0000_t75" style="height:9pt;width:27pt">
                  <v:imagedata r:id="rId7" o:title=""/>
                </v:shape>
              </w:pict>
            </w:r>
            <w:r>
              <w:t>75%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C.诊断性评价</w:t>
            </w:r>
          </w:p>
        </w:tc>
        <w:tc>
          <w:tcPr>
            <w:shd w:val="clear" w:color="auto" w:fill="FFFFFF"/>
            <w:vAlign w:val="center"/>
          </w:tcPr>
          <w:p>
            <w:pPr>
              <w:bidi w:val="0"/>
              <w:jc w:val="center"/>
            </w:pPr>
            <w:r>
              <w:t>5</w:t>
            </w:r>
          </w:p>
        </w:tc>
        <w:tc>
          <w:tcPr>
            <w:shd w:val="clear" w:color="auto" w:fill="FFFFFF"/>
            <w:vAlign w:val="center"/>
          </w:tcPr>
          <w:p>
            <w:pPr>
              <w:bidi w:val="0"/>
              <w:jc w:val="left"/>
            </w:pPr>
            <w:r>
              <w:pict>
                <v:shape id="_x0000_i1029" type="#_x0000_t75" style="height:9pt;width:12pt">
                  <v:imagedata r:id="rId8" o:title=""/>
                </v:shape>
              </w:pict>
            </w:r>
            <w:r>
              <w:pict>
                <v:shape id="_x0000_i1030" type="#_x0000_t75" style="height:9pt;width:94.51pt">
                  <v:imagedata r:id="rId9" o:title=""/>
                </v:shape>
              </w:pict>
            </w:r>
            <w:r>
              <w:t>11.36%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D.定性评价</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31" type="#_x0000_t75" style="height:9pt;width:106.51pt">
                  <v:imagedata r:id="rId10" o:title=""/>
                </v:shape>
              </w:pict>
            </w:r>
            <w:r>
              <w:t>0%</w:t>
            </w:r>
          </w:p>
        </w:tc>
      </w:tr>
    </w:tbl>
    <w:p>
      <w:pPr>
        <w:bidi w:val="0"/>
      </w:pPr>
      <w:r>
        <w:rPr>
          <w:rStyle w:val="DefaultParagraphFont"/>
          <w:bdr w:val="nil"/>
          <w:rtl w:val="0"/>
        </w:rPr>
        <w:t>正确率：</w:t>
      </w:r>
      <w:r>
        <w:rPr>
          <w:rStyle w:val="DefaultParagraphFont"/>
          <w:color w:val="FF6600"/>
          <w:bdr w:val="nil"/>
          <w:rtl w:val="0"/>
        </w:rPr>
        <w:t>75%</w:t>
      </w:r>
    </w:p>
    <w:p>
      <w:pPr>
        <w:bidi w:val="0"/>
      </w:pPr>
    </w:p>
    <w:p>
      <w:pPr>
        <w:bidi w:val="0"/>
      </w:pPr>
    </w:p>
    <w:p>
      <w:pPr>
        <w:bidi w:val="0"/>
      </w:pPr>
      <w:r>
        <w:rPr>
          <w:b w:val="0"/>
          <w:color w:val="000000"/>
          <w:sz w:val="24"/>
        </w:rPr>
        <w:t>2.心算、打腹稿、默读等技能属于(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A.动作技能</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2" type="#_x0000_t75" style="height:9pt;width:106.51pt">
                  <v:imagedata r:id="rId10"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B.心智技能</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35</w:t>
            </w:r>
          </w:p>
        </w:tc>
        <w:tc>
          <w:tcPr>
            <w:shd w:val="clear" w:color="auto" w:fill="F9F9F9"/>
            <w:vAlign w:val="center"/>
          </w:tcPr>
          <w:p>
            <w:pPr>
              <w:bidi w:val="0"/>
              <w:jc w:val="left"/>
            </w:pPr>
            <w:r>
              <w:pict>
                <v:shape id="_x0000_i1033" type="#_x0000_t75" style="height:9pt;width:84.01pt">
                  <v:imagedata r:id="rId11" o:title=""/>
                </v:shape>
              </w:pict>
            </w:r>
            <w:r>
              <w:pict>
                <v:shape id="_x0000_i1034" type="#_x0000_t75" style="height:9pt;width:22.5pt">
                  <v:imagedata r:id="rId12" o:title=""/>
                </v:shape>
              </w:pict>
            </w:r>
            <w:r>
              <w:t>79.55%</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C.策略技能</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35" type="#_x0000_t75" style="height:9pt;width:9pt">
                  <v:imagedata r:id="rId13" o:title=""/>
                </v:shape>
              </w:pict>
            </w:r>
            <w:r>
              <w:pict>
                <v:shape id="_x0000_i1036" type="#_x0000_t75" style="height:9pt;width:97.51pt">
                  <v:imagedata r:id="rId14" o:title=""/>
                </v:shape>
              </w:pict>
            </w:r>
            <w:r>
              <w:t>9.09%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D.精细技能</w:t>
            </w:r>
          </w:p>
        </w:tc>
        <w:tc>
          <w:tcPr>
            <w:shd w:val="clear" w:color="auto" w:fill="F9F9F9"/>
            <w:vAlign w:val="center"/>
          </w:tcPr>
          <w:p>
            <w:pPr>
              <w:bidi w:val="0"/>
              <w:jc w:val="center"/>
            </w:pPr>
            <w:r>
              <w:t>5</w:t>
            </w:r>
          </w:p>
        </w:tc>
        <w:tc>
          <w:tcPr>
            <w:shd w:val="clear" w:color="auto" w:fill="F9F9F9"/>
            <w:vAlign w:val="center"/>
          </w:tcPr>
          <w:p>
            <w:pPr>
              <w:bidi w:val="0"/>
              <w:jc w:val="left"/>
            </w:pPr>
            <w:r>
              <w:pict>
                <v:shape id="_x0000_i1037" type="#_x0000_t75" style="height:9pt;width:12pt">
                  <v:imagedata r:id="rId8" o:title=""/>
                </v:shape>
              </w:pict>
            </w:r>
            <w:r>
              <w:pict>
                <v:shape id="_x0000_i1038" type="#_x0000_t75" style="height:9pt;width:94.51pt">
                  <v:imagedata r:id="rId9" o:title=""/>
                </v:shape>
              </w:pict>
            </w:r>
            <w:r>
              <w:t>11.36%</w:t>
            </w:r>
          </w:p>
        </w:tc>
      </w:tr>
    </w:tbl>
    <w:p>
      <w:pPr>
        <w:bidi w:val="0"/>
      </w:pPr>
      <w:r>
        <w:rPr>
          <w:rStyle w:val="DefaultParagraphFont"/>
          <w:bdr w:val="nil"/>
          <w:rtl w:val="0"/>
        </w:rPr>
        <w:t>正确率：</w:t>
      </w:r>
      <w:r>
        <w:rPr>
          <w:rStyle w:val="DefaultParagraphFont"/>
          <w:color w:val="FF6600"/>
          <w:bdr w:val="nil"/>
          <w:rtl w:val="0"/>
        </w:rPr>
        <w:t>79.55%</w:t>
      </w:r>
    </w:p>
    <w:p>
      <w:pPr>
        <w:bidi w:val="0"/>
      </w:pPr>
    </w:p>
    <w:p>
      <w:pPr>
        <w:bidi w:val="0"/>
      </w:pPr>
    </w:p>
    <w:p>
      <w:pPr>
        <w:bidi w:val="0"/>
      </w:pPr>
      <w:r>
        <w:rPr>
          <w:b w:val="0"/>
          <w:color w:val="000000"/>
          <w:sz w:val="24"/>
        </w:rPr>
        <w:t>3.学生从道德上理解道德规范并不很难，但是要真正把这种要求转化为个人的道德需要，形成道德信念，就必须经过道德实践的亲身体验，其中转化的“催化剂”是(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A.道德动机</w:t>
            </w:r>
          </w:p>
        </w:tc>
        <w:tc>
          <w:tcPr>
            <w:shd w:val="clear" w:color="auto" w:fill="FFFFFF"/>
            <w:vAlign w:val="center"/>
          </w:tcPr>
          <w:p>
            <w:pPr>
              <w:bidi w:val="0"/>
              <w:jc w:val="center"/>
            </w:pPr>
            <w:r>
              <w:t>6</w:t>
            </w:r>
          </w:p>
        </w:tc>
        <w:tc>
          <w:tcPr>
            <w:shd w:val="clear" w:color="auto" w:fill="FFFFFF"/>
            <w:vAlign w:val="center"/>
          </w:tcPr>
          <w:p>
            <w:pPr>
              <w:bidi w:val="0"/>
              <w:jc w:val="left"/>
            </w:pPr>
            <w:r>
              <w:pict>
                <v:shape id="_x0000_i1039" type="#_x0000_t75" style="height:9pt;width:14.25pt">
                  <v:imagedata r:id="rId4" o:title=""/>
                </v:shape>
              </w:pict>
            </w:r>
            <w:r>
              <w:pict>
                <v:shape id="_x0000_i1040" type="#_x0000_t75" style="height:9pt;width:92.26pt">
                  <v:imagedata r:id="rId5" o:title=""/>
                </v:shape>
              </w:pict>
            </w:r>
            <w:r>
              <w:t>13.64%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B.道德评价</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41" type="#_x0000_t75" style="height:9pt;width:6.75pt">
                  <v:imagedata r:id="rId15" o:title=""/>
                </v:shape>
              </w:pict>
            </w:r>
            <w:r>
              <w:pict>
                <v:shape id="_x0000_i1042" type="#_x0000_t75" style="height:9pt;width:99.76pt">
                  <v:imagedata r:id="rId16" o:title=""/>
                </v:shape>
              </w:pict>
            </w:r>
            <w:r>
              <w:t>6.82%</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C.道德行为习惯</w:t>
            </w:r>
          </w:p>
        </w:tc>
        <w:tc>
          <w:tcPr>
            <w:shd w:val="clear" w:color="auto" w:fill="FFFFFF"/>
            <w:vAlign w:val="center"/>
          </w:tcPr>
          <w:p>
            <w:pPr>
              <w:bidi w:val="0"/>
              <w:jc w:val="center"/>
            </w:pPr>
            <w:r>
              <w:t>7</w:t>
            </w:r>
          </w:p>
        </w:tc>
        <w:tc>
          <w:tcPr>
            <w:shd w:val="clear" w:color="auto" w:fill="FFFFFF"/>
            <w:vAlign w:val="center"/>
          </w:tcPr>
          <w:p>
            <w:pPr>
              <w:bidi w:val="0"/>
              <w:jc w:val="left"/>
            </w:pPr>
            <w:r>
              <w:pict>
                <v:shape id="_x0000_i1043" type="#_x0000_t75" style="height:9pt;width:16.5pt">
                  <v:imagedata r:id="rId17" o:title=""/>
                </v:shape>
              </w:pict>
            </w:r>
            <w:r>
              <w:pict>
                <v:shape id="_x0000_i1044" type="#_x0000_t75" style="height:9pt;width:90.01pt">
                  <v:imagedata r:id="rId18" o:title=""/>
                </v:shape>
              </w:pict>
            </w:r>
            <w:r>
              <w:t>15.91%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D.积极的道德情感</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28</w:t>
            </w:r>
          </w:p>
        </w:tc>
        <w:tc>
          <w:tcPr>
            <w:shd w:val="clear" w:color="auto" w:fill="F9F9F9"/>
            <w:vAlign w:val="center"/>
          </w:tcPr>
          <w:p>
            <w:pPr>
              <w:bidi w:val="0"/>
              <w:jc w:val="left"/>
            </w:pPr>
            <w:r>
              <w:pict>
                <v:shape id="_x0000_i1045" type="#_x0000_t75" style="height:9pt;width:67.51pt">
                  <v:imagedata r:id="rId19" o:title=""/>
                </v:shape>
              </w:pict>
            </w:r>
            <w:r>
              <w:pict>
                <v:shape id="_x0000_i1046" type="#_x0000_t75" style="height:9pt;width:39.01pt">
                  <v:imagedata r:id="rId20" o:title=""/>
                </v:shape>
              </w:pict>
            </w:r>
            <w:r>
              <w:t>63.64%</w:t>
            </w:r>
          </w:p>
        </w:tc>
      </w:tr>
    </w:tbl>
    <w:p>
      <w:pPr>
        <w:bidi w:val="0"/>
      </w:pPr>
      <w:r>
        <w:rPr>
          <w:rStyle w:val="DefaultParagraphFont"/>
          <w:bdr w:val="nil"/>
          <w:rtl w:val="0"/>
        </w:rPr>
        <w:t>正确率：</w:t>
      </w:r>
      <w:r>
        <w:rPr>
          <w:rStyle w:val="DefaultParagraphFont"/>
          <w:color w:val="FF6600"/>
          <w:bdr w:val="nil"/>
          <w:rtl w:val="0"/>
        </w:rPr>
        <w:t>63.64%</w:t>
      </w:r>
    </w:p>
    <w:p>
      <w:pPr>
        <w:bidi w:val="0"/>
      </w:pPr>
    </w:p>
    <w:p>
      <w:pPr>
        <w:bidi w:val="0"/>
      </w:pPr>
    </w:p>
    <w:p>
      <w:pPr>
        <w:bidi w:val="0"/>
      </w:pPr>
      <w:r>
        <w:rPr>
          <w:b w:val="0"/>
          <w:color w:val="000000"/>
          <w:sz w:val="24"/>
        </w:rPr>
        <w:t>4.当前，我国中小学普遍实行学科课程，这反映出课程的本质是(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A.课程是经验</w:t>
            </w:r>
          </w:p>
        </w:tc>
        <w:tc>
          <w:tcPr>
            <w:shd w:val="clear" w:color="auto" w:fill="FFFFFF"/>
            <w:vAlign w:val="center"/>
          </w:tcPr>
          <w:p>
            <w:pPr>
              <w:bidi w:val="0"/>
              <w:jc w:val="center"/>
            </w:pPr>
            <w:r>
              <w:t>8</w:t>
            </w:r>
          </w:p>
        </w:tc>
        <w:tc>
          <w:tcPr>
            <w:shd w:val="clear" w:color="auto" w:fill="FFFFFF"/>
            <w:vAlign w:val="center"/>
          </w:tcPr>
          <w:p>
            <w:pPr>
              <w:bidi w:val="0"/>
              <w:jc w:val="left"/>
            </w:pPr>
            <w:r>
              <w:pict>
                <v:shape id="_x0000_i1047" type="#_x0000_t75" style="height:9pt;width:18.75pt">
                  <v:imagedata r:id="rId21" o:title=""/>
                </v:shape>
              </w:pict>
            </w:r>
            <w:r>
              <w:pict>
                <v:shape id="_x0000_i1048" type="#_x0000_t75" style="height:9pt;width:87.76pt">
                  <v:imagedata r:id="rId22" o:title=""/>
                </v:shape>
              </w:pict>
            </w:r>
            <w:r>
              <w:t>18.18%</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B.课程是活动</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49" type="#_x0000_t75" style="height:9pt;width:106.51pt">
                  <v:imagedata r:id="rId10"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C.课程是兴趣</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50" type="#_x0000_t75" style="height:9pt;width:2.25pt">
                  <v:imagedata r:id="rId23" o:title=""/>
                </v:shape>
              </w:pict>
            </w:r>
            <w:r>
              <w:pict>
                <v:shape id="_x0000_i1051" type="#_x0000_t75" style="height:9pt;width:104.26pt">
                  <v:imagedata r:id="rId24" o:title=""/>
                </v:shape>
              </w:pict>
            </w:r>
            <w:r>
              <w:t>2.27%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D.课程是知识</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35</w:t>
            </w:r>
          </w:p>
        </w:tc>
        <w:tc>
          <w:tcPr>
            <w:shd w:val="clear" w:color="auto" w:fill="F9F9F9"/>
            <w:vAlign w:val="center"/>
          </w:tcPr>
          <w:p>
            <w:pPr>
              <w:bidi w:val="0"/>
              <w:jc w:val="left"/>
            </w:pPr>
            <w:r>
              <w:pict>
                <v:shape id="_x0000_i1052" type="#_x0000_t75" style="height:9pt;width:84.01pt">
                  <v:imagedata r:id="rId11" o:title=""/>
                </v:shape>
              </w:pict>
            </w:r>
            <w:r>
              <w:pict>
                <v:shape id="_x0000_i1053" type="#_x0000_t75" style="height:9pt;width:22.5pt">
                  <v:imagedata r:id="rId12" o:title=""/>
                </v:shape>
              </w:pict>
            </w:r>
            <w:r>
              <w:t>79.55%</w:t>
            </w:r>
          </w:p>
        </w:tc>
      </w:tr>
    </w:tbl>
    <w:p>
      <w:pPr>
        <w:bidi w:val="0"/>
      </w:pPr>
      <w:r>
        <w:rPr>
          <w:rStyle w:val="DefaultParagraphFont"/>
          <w:bdr w:val="nil"/>
          <w:rtl w:val="0"/>
        </w:rPr>
        <w:t>正确率：</w:t>
      </w:r>
      <w:r>
        <w:rPr>
          <w:rStyle w:val="DefaultParagraphFont"/>
          <w:color w:val="FF6600"/>
          <w:bdr w:val="nil"/>
          <w:rtl w:val="0"/>
        </w:rPr>
        <w:t>79.55%</w:t>
      </w:r>
    </w:p>
    <w:p>
      <w:pPr>
        <w:bidi w:val="0"/>
      </w:pPr>
    </w:p>
    <w:p>
      <w:pPr>
        <w:bidi w:val="0"/>
      </w:pPr>
    </w:p>
    <w:p>
      <w:pPr>
        <w:bidi w:val="0"/>
      </w:pPr>
      <w:r>
        <w:rPr>
          <w:b w:val="0"/>
          <w:color w:val="000000"/>
          <w:sz w:val="24"/>
        </w:rPr>
        <w:t>5.某校大力美化了校园环境，注重校园文化建设，确定了校风校训、班风班训等。这种现象说明该校重视了(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A.显性课程</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54" type="#_x0000_t75" style="height:9pt;width:2.25pt">
                  <v:imagedata r:id="rId23" o:title=""/>
                </v:shape>
              </w:pict>
            </w:r>
            <w:r>
              <w:pict>
                <v:shape id="_x0000_i1055" type="#_x0000_t75" style="height:9pt;width:104.26pt">
                  <v:imagedata r:id="rId24" o:title=""/>
                </v:shape>
              </w:pict>
            </w:r>
            <w:r>
              <w:t>2.27%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B.隐性课程</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43</w:t>
            </w:r>
          </w:p>
        </w:tc>
        <w:tc>
          <w:tcPr>
            <w:shd w:val="clear" w:color="auto" w:fill="F9F9F9"/>
            <w:vAlign w:val="center"/>
          </w:tcPr>
          <w:p>
            <w:pPr>
              <w:bidi w:val="0"/>
              <w:jc w:val="left"/>
            </w:pPr>
            <w:r>
              <w:pict>
                <v:shape id="_x0000_i1056" type="#_x0000_t75" style="height:9pt;width:103.51pt">
                  <v:imagedata r:id="rId25" o:title=""/>
                </v:shape>
              </w:pict>
            </w:r>
            <w:r>
              <w:pict>
                <v:shape id="_x0000_i1057" type="#_x0000_t75" style="height:9pt;width:3pt">
                  <v:imagedata r:id="rId26" o:title=""/>
                </v:shape>
              </w:pict>
            </w:r>
            <w:r>
              <w:t>97.73%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C.学科课程</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58" type="#_x0000_t75" style="height:9pt;width:106.51pt">
                  <v:imagedata r:id="rId10"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D.经验课程</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59" type="#_x0000_t75" style="height:9pt;width:106.51pt">
                  <v:imagedata r:id="rId10" o:title=""/>
                </v:shape>
              </w:pict>
            </w:r>
            <w:r>
              <w:t>0%</w:t>
            </w:r>
          </w:p>
        </w:tc>
      </w:tr>
    </w:tbl>
    <w:p>
      <w:pPr>
        <w:bidi w:val="0"/>
      </w:pPr>
      <w:r>
        <w:rPr>
          <w:rStyle w:val="DefaultParagraphFont"/>
          <w:bdr w:val="nil"/>
          <w:rtl w:val="0"/>
        </w:rPr>
        <w:t>正确率：</w:t>
      </w:r>
      <w:r>
        <w:rPr>
          <w:rStyle w:val="DefaultParagraphFont"/>
          <w:color w:val="FF6600"/>
          <w:bdr w:val="nil"/>
          <w:rtl w:val="0"/>
        </w:rPr>
        <w:t>97.73%</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