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教师招聘每日一练（12月20日）</w:t>
      </w:r>
    </w:p>
    <w:p w:rsidR="00A77B3E">
      <w:pPr>
        <w:rPr>
          <w:b/>
          <w:sz w:val="32"/>
        </w:rPr>
      </w:pPr>
      <w:r>
        <w:rPr>
          <w:b w:val="0"/>
          <w:color w:val="000000"/>
          <w:sz w:val="24"/>
        </w:rPr>
        <w:t>1.高中生小明在进行数学问题解决的时候总是喜欢从不同的角度对问题进行思考，并对多种方法进行假设验证，请问小明的认知风格最有可能是(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A.表层加工</w:t>
            </w:r>
          </w:p>
        </w:tc>
        <w:tc>
          <w:tcPr>
            <w:shd w:val="clear" w:color="auto" w:fill="FFFFFF"/>
            <w:vAlign w:val="center"/>
          </w:tcPr>
          <w:p>
            <w:pPr>
              <w:jc w:val="center"/>
            </w:pPr>
            <w:r>
              <w:t>0</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B.辐合型</w:t>
            </w:r>
          </w:p>
        </w:tc>
        <w:tc>
          <w:tcPr>
            <w:shd w:val="clear" w:color="auto" w:fill="F9F9F9"/>
            <w:vAlign w:val="center"/>
          </w:tcPr>
          <w:p>
            <w:pPr>
              <w:jc w:val="center"/>
            </w:pPr>
            <w:r>
              <w:t>3</w:t>
            </w:r>
          </w:p>
        </w:tc>
        <w:tc>
          <w:tcPr>
            <w:shd w:val="clear" w:color="auto" w:fill="F9F9F9"/>
            <w:vAlign w:val="center"/>
          </w:tcPr>
          <w:p>
            <w:pPr>
              <w:jc w:val="left"/>
            </w:pPr>
            <w:r>
              <w:pict>
                <v:shape id="_x0000_i1026" type="#_x0000_t75" style="height:9pt;width:6pt">
                  <v:imagedata r:id="rId5" o:title=""/>
                </v:shape>
              </w:pict>
            </w:r>
            <w:r>
              <w:pict>
                <v:shape id="_x0000_i1027" type="#_x0000_t75" style="height:9pt;width:100.51pt">
                  <v:imagedata r:id="rId6" o:title=""/>
                </v:shape>
              </w:pict>
            </w:r>
            <w:r>
              <w:t>6.12%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C.发散型</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44</w:t>
            </w:r>
          </w:p>
        </w:tc>
        <w:tc>
          <w:tcPr>
            <w:shd w:val="clear" w:color="auto" w:fill="FFFFFF"/>
            <w:vAlign w:val="center"/>
          </w:tcPr>
          <w:p>
            <w:pPr>
              <w:bidi w:val="0"/>
              <w:jc w:val="left"/>
            </w:pPr>
            <w:r>
              <w:pict>
                <v:shape id="_x0000_i1028" type="#_x0000_t75" style="height:9pt;width:95.26pt">
                  <v:imagedata r:id="rId7" o:title=""/>
                </v:shape>
              </w:pict>
            </w:r>
            <w:r>
              <w:pict>
                <v:shape id="_x0000_i1029" type="#_x0000_t75" style="height:9pt;width:11.25pt">
                  <v:imagedata r:id="rId8" o:title=""/>
                </v:shape>
              </w:pict>
            </w:r>
            <w:r>
              <w:t>89.8%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D.场独立型</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0" type="#_x0000_t75" style="height:9pt;width:3.75pt">
                  <v:imagedata r:id="rId9" o:title=""/>
                </v:shape>
              </w:pict>
            </w:r>
            <w:r>
              <w:pict>
                <v:shape id="_x0000_i1031" type="#_x0000_t75" style="height:9pt;width:102.76pt">
                  <v:imagedata r:id="rId10" o:title=""/>
                </v:shape>
              </w:pict>
            </w:r>
            <w:r>
              <w:t>4.08%</w:t>
            </w:r>
          </w:p>
        </w:tc>
      </w:tr>
    </w:tbl>
    <w:p>
      <w:pPr>
        <w:bidi w:val="0"/>
      </w:pPr>
      <w:r>
        <w:rPr>
          <w:rStyle w:val="DefaultParagraphFont"/>
          <w:bdr w:val="nil"/>
          <w:rtl w:val="0"/>
        </w:rPr>
        <w:t>正确率：</w:t>
      </w:r>
      <w:r>
        <w:rPr>
          <w:rStyle w:val="DefaultParagraphFont"/>
          <w:color w:val="FF6600"/>
          <w:bdr w:val="nil"/>
          <w:rtl w:val="0"/>
        </w:rPr>
        <w:t>89.8%</w:t>
      </w:r>
    </w:p>
    <w:p>
      <w:pPr>
        <w:bidi w:val="0"/>
      </w:pPr>
    </w:p>
    <w:p>
      <w:pPr>
        <w:bidi w:val="0"/>
      </w:pPr>
    </w:p>
    <w:p>
      <w:pPr>
        <w:bidi w:val="0"/>
      </w:pPr>
      <w:r>
        <w:rPr>
          <w:b w:val="0"/>
          <w:color w:val="000000"/>
          <w:sz w:val="24"/>
        </w:rPr>
        <w:t>2.教师不是传递客观而确定的现成知识，而是激发出学生原有的知识经验，促进知识经验的“生长”，促进学生的知识建构活动，以促成知识经验的重新组织、转换和改造。持上述教学观的理论流派是(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A.行为主义</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2"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B.存在主义</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3"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C.建构主义</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48</w:t>
            </w:r>
          </w:p>
        </w:tc>
        <w:tc>
          <w:tcPr>
            <w:shd w:val="clear" w:color="auto" w:fill="FFFFFF"/>
            <w:vAlign w:val="center"/>
          </w:tcPr>
          <w:p>
            <w:pPr>
              <w:bidi w:val="0"/>
              <w:jc w:val="left"/>
            </w:pPr>
            <w:r>
              <w:pict>
                <v:shape id="_x0000_i1034" type="#_x0000_t75" style="height:9pt;width:104.26pt">
                  <v:imagedata r:id="rId11" o:title=""/>
                </v:shape>
              </w:pict>
            </w:r>
            <w:r>
              <w:pict>
                <v:shape id="_x0000_i1035" type="#_x0000_t75" style="height:9pt;width:2.25pt">
                  <v:imagedata r:id="rId12" o:title=""/>
                </v:shape>
              </w:pict>
            </w:r>
            <w:r>
              <w:t>97.96%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D.人本主义</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6" type="#_x0000_t75" style="height:9pt;width:1.5pt">
                  <v:imagedata r:id="rId13" o:title=""/>
                </v:shape>
              </w:pict>
            </w:r>
            <w:r>
              <w:pict>
                <v:shape id="_x0000_i1037" type="#_x0000_t75" style="height:9pt;width:105.01pt">
                  <v:imagedata r:id="rId14" o:title=""/>
                </v:shape>
              </w:pict>
            </w:r>
            <w:r>
              <w:t>2.04%</w:t>
            </w:r>
          </w:p>
        </w:tc>
      </w:tr>
    </w:tbl>
    <w:p>
      <w:pPr>
        <w:bidi w:val="0"/>
      </w:pPr>
      <w:r>
        <w:rPr>
          <w:rStyle w:val="DefaultParagraphFont"/>
          <w:bdr w:val="nil"/>
          <w:rtl w:val="0"/>
        </w:rPr>
        <w:t>正确率：</w:t>
      </w:r>
      <w:r>
        <w:rPr>
          <w:rStyle w:val="DefaultParagraphFont"/>
          <w:color w:val="FF6600"/>
          <w:bdr w:val="nil"/>
          <w:rtl w:val="0"/>
        </w:rPr>
        <w:t>97.96%</w:t>
      </w:r>
    </w:p>
    <w:p>
      <w:pPr>
        <w:bidi w:val="0"/>
      </w:pPr>
    </w:p>
    <w:p>
      <w:pPr>
        <w:bidi w:val="0"/>
      </w:pPr>
    </w:p>
    <w:p>
      <w:pPr>
        <w:bidi w:val="0"/>
      </w:pPr>
      <w:r>
        <w:rPr>
          <w:b w:val="0"/>
          <w:color w:val="000000"/>
          <w:sz w:val="24"/>
        </w:rPr>
        <w:t>3.解决问题的关键是(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A.表层特征</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38" type="#_x0000_t75" style="height:9pt;width:3.75pt">
                  <v:imagedata r:id="rId9" o:title=""/>
                </v:shape>
              </w:pict>
            </w:r>
            <w:r>
              <w:pict>
                <v:shape id="_x0000_i1039" type="#_x0000_t75" style="height:9pt;width:102.76pt">
                  <v:imagedata r:id="rId10" o:title=""/>
                </v:shape>
              </w:pict>
            </w:r>
            <w:r>
              <w:t>4.08%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B.深层特征</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20</w:t>
            </w:r>
          </w:p>
        </w:tc>
        <w:tc>
          <w:tcPr>
            <w:shd w:val="clear" w:color="auto" w:fill="F9F9F9"/>
            <w:vAlign w:val="center"/>
          </w:tcPr>
          <w:p>
            <w:pPr>
              <w:bidi w:val="0"/>
              <w:jc w:val="left"/>
            </w:pPr>
            <w:r>
              <w:pict>
                <v:shape id="_x0000_i1040" type="#_x0000_t75" style="height:9pt;width:42.76pt">
                  <v:imagedata r:id="rId15" o:title=""/>
                </v:shape>
              </w:pict>
            </w:r>
            <w:r>
              <w:pict>
                <v:shape id="_x0000_i1041" type="#_x0000_t75" style="height:9pt;width:63.76pt">
                  <v:imagedata r:id="rId16" o:title=""/>
                </v:shape>
              </w:pict>
            </w:r>
            <w:r>
              <w:t>40.82%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C.寻求解答</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42" type="#_x0000_t75" style="height:9pt;width:23.25pt">
                  <v:imagedata r:id="rId17" o:title=""/>
                </v:shape>
              </w:pict>
            </w:r>
            <w:r>
              <w:pict>
                <v:shape id="_x0000_i1043" type="#_x0000_t75" style="height:9pt;width:83.26pt">
                  <v:imagedata r:id="rId18" o:title=""/>
                </v:shape>
              </w:pict>
            </w:r>
            <w:r>
              <w:t>22.45%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D.执行决策</w:t>
            </w:r>
          </w:p>
        </w:tc>
        <w:tc>
          <w:tcPr>
            <w:shd w:val="clear" w:color="auto" w:fill="F9F9F9"/>
            <w:vAlign w:val="center"/>
          </w:tcPr>
          <w:p>
            <w:pPr>
              <w:bidi w:val="0"/>
              <w:jc w:val="center"/>
            </w:pPr>
            <w:r>
              <w:t>16</w:t>
            </w:r>
          </w:p>
        </w:tc>
        <w:tc>
          <w:tcPr>
            <w:shd w:val="clear" w:color="auto" w:fill="F9F9F9"/>
            <w:vAlign w:val="center"/>
          </w:tcPr>
          <w:p>
            <w:pPr>
              <w:bidi w:val="0"/>
              <w:jc w:val="left"/>
            </w:pPr>
            <w:r>
              <w:pict>
                <v:shape id="_x0000_i1044" type="#_x0000_t75" style="height:9pt;width:34.5pt">
                  <v:imagedata r:id="rId19" o:title=""/>
                </v:shape>
              </w:pict>
            </w:r>
            <w:r>
              <w:pict>
                <v:shape id="_x0000_i1045" type="#_x0000_t75" style="height:9pt;width:72.01pt">
                  <v:imagedata r:id="rId20" o:title=""/>
                </v:shape>
              </w:pict>
            </w:r>
            <w:r>
              <w:t>32.65%</w:t>
            </w:r>
          </w:p>
        </w:tc>
      </w:tr>
    </w:tbl>
    <w:p>
      <w:pPr>
        <w:bidi w:val="0"/>
      </w:pPr>
      <w:r>
        <w:rPr>
          <w:rStyle w:val="DefaultParagraphFont"/>
          <w:bdr w:val="nil"/>
          <w:rtl w:val="0"/>
        </w:rPr>
        <w:t>正确率：</w:t>
      </w:r>
      <w:r>
        <w:rPr>
          <w:rStyle w:val="DefaultParagraphFont"/>
          <w:color w:val="FF6600"/>
          <w:bdr w:val="nil"/>
          <w:rtl w:val="0"/>
        </w:rPr>
        <w:t>40.82%</w:t>
      </w:r>
    </w:p>
    <w:p>
      <w:pPr>
        <w:bidi w:val="0"/>
      </w:pPr>
    </w:p>
    <w:p>
      <w:pPr>
        <w:bidi w:val="0"/>
      </w:pPr>
    </w:p>
    <w:p>
      <w:pPr>
        <w:bidi w:val="0"/>
      </w:pPr>
      <w:r>
        <w:rPr>
          <w:b w:val="0"/>
          <w:color w:val="000000"/>
          <w:sz w:val="24"/>
        </w:rPr>
        <w:t>4.被人们誉为“近代教育科学之父”的教育家是(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A.夸美纽斯</w:t>
            </w:r>
          </w:p>
        </w:tc>
        <w:tc>
          <w:tcPr>
            <w:shd w:val="clear" w:color="auto" w:fill="FFFFFF"/>
            <w:vAlign w:val="center"/>
          </w:tcPr>
          <w:p>
            <w:pPr>
              <w:bidi w:val="0"/>
              <w:jc w:val="center"/>
            </w:pPr>
            <w:r>
              <w:t>15</w:t>
            </w:r>
          </w:p>
        </w:tc>
        <w:tc>
          <w:tcPr>
            <w:shd w:val="clear" w:color="auto" w:fill="FFFFFF"/>
            <w:vAlign w:val="center"/>
          </w:tcPr>
          <w:p>
            <w:pPr>
              <w:bidi w:val="0"/>
              <w:jc w:val="left"/>
            </w:pPr>
            <w:r>
              <w:pict>
                <v:shape id="_x0000_i1046" type="#_x0000_t75" style="height:9pt;width:32.25pt">
                  <v:imagedata r:id="rId21" o:title=""/>
                </v:shape>
              </w:pict>
            </w:r>
            <w:r>
              <w:pict>
                <v:shape id="_x0000_i1047" type="#_x0000_t75" style="height:9pt;width:74.26pt">
                  <v:imagedata r:id="rId22" o:title=""/>
                </v:shape>
              </w:pict>
            </w:r>
            <w:r>
              <w:t>30.61%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B.洛克</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48" type="#_x0000_t75" style="height:9pt;width:6pt">
                  <v:imagedata r:id="rId5" o:title=""/>
                </v:shape>
              </w:pict>
            </w:r>
            <w:r>
              <w:pict>
                <v:shape id="_x0000_i1049" type="#_x0000_t75" style="height:9pt;width:100.51pt">
                  <v:imagedata r:id="rId6" o:title=""/>
                </v:shape>
              </w:pict>
            </w:r>
            <w:r>
              <w:t>6.12%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C.卢梭</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0"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D.赫尔巴特</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31</w:t>
            </w:r>
          </w:p>
        </w:tc>
        <w:tc>
          <w:tcPr>
            <w:shd w:val="clear" w:color="auto" w:fill="F9F9F9"/>
            <w:vAlign w:val="center"/>
          </w:tcPr>
          <w:p>
            <w:pPr>
              <w:bidi w:val="0"/>
              <w:jc w:val="left"/>
            </w:pPr>
            <w:r>
              <w:pict>
                <v:shape id="_x0000_i1051" type="#_x0000_t75" style="height:9pt;width:66.76pt">
                  <v:imagedata r:id="rId23" o:title=""/>
                </v:shape>
              </w:pict>
            </w:r>
            <w:r>
              <w:pict>
                <v:shape id="_x0000_i1052" type="#_x0000_t75" style="height:9pt;width:39.76pt">
                  <v:imagedata r:id="rId24" o:title=""/>
                </v:shape>
              </w:pict>
            </w:r>
            <w:r>
              <w:t>63.27%</w:t>
            </w:r>
          </w:p>
        </w:tc>
      </w:tr>
    </w:tbl>
    <w:p>
      <w:pPr>
        <w:bidi w:val="0"/>
      </w:pPr>
      <w:r>
        <w:rPr>
          <w:rStyle w:val="DefaultParagraphFont"/>
          <w:bdr w:val="nil"/>
          <w:rtl w:val="0"/>
        </w:rPr>
        <w:t>正确率：</w:t>
      </w:r>
      <w:r>
        <w:rPr>
          <w:rStyle w:val="DefaultParagraphFont"/>
          <w:color w:val="FF6600"/>
          <w:bdr w:val="nil"/>
          <w:rtl w:val="0"/>
        </w:rPr>
        <w:t>63.27%</w:t>
      </w:r>
    </w:p>
    <w:p>
      <w:pPr>
        <w:bidi w:val="0"/>
      </w:pPr>
    </w:p>
    <w:p>
      <w:pPr>
        <w:bidi w:val="0"/>
      </w:pPr>
    </w:p>
    <w:p>
      <w:pPr>
        <w:bidi w:val="0"/>
      </w:pPr>
      <w:r>
        <w:rPr>
          <w:b w:val="0"/>
          <w:color w:val="000000"/>
          <w:sz w:val="24"/>
        </w:rPr>
        <w:t>5.下列表述中，不能体现环境对人身心发展的影响的是(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A.“近朱者赤，近墨者黑”</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3"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B.“蓬生麻中，不扶自直”</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4" type="#_x0000_t75" style="height:9pt;width:1.5pt">
                  <v:imagedata r:id="rId13" o:title=""/>
                </v:shape>
              </w:pict>
            </w:r>
            <w:r>
              <w:pict>
                <v:shape id="_x0000_i1055" type="#_x0000_t75" style="height:9pt;width:105.01pt">
                  <v:imagedata r:id="rId14" o:title=""/>
                </v:shape>
              </w:pict>
            </w:r>
            <w:r>
              <w:t>2.04%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C.“孟母三迁”</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6" type="#_x0000_t75" style="height:9pt;width:106.51pt">
                  <v:imagedata r:id="rId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D.“龙生龙凤生凤，老鼠的儿子会打洞”</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48</w:t>
            </w:r>
          </w:p>
        </w:tc>
        <w:tc>
          <w:tcPr>
            <w:shd w:val="clear" w:color="auto" w:fill="F9F9F9"/>
            <w:vAlign w:val="center"/>
          </w:tcPr>
          <w:p>
            <w:pPr>
              <w:bidi w:val="0"/>
              <w:jc w:val="left"/>
            </w:pPr>
            <w:r>
              <w:pict>
                <v:shape id="_x0000_i1057" type="#_x0000_t75" style="height:9pt;width:104.26pt">
                  <v:imagedata r:id="rId11" o:title=""/>
                </v:shape>
              </w:pict>
            </w:r>
            <w:r>
              <w:pict>
                <v:shape id="_x0000_i1058" type="#_x0000_t75" style="height:9pt;width:2.25pt">
                  <v:imagedata r:id="rId12" o:title=""/>
                </v:shape>
              </w:pict>
            </w:r>
            <w:r>
              <w:t>97.96%</w:t>
            </w:r>
          </w:p>
        </w:tc>
      </w:tr>
    </w:tbl>
    <w:p>
      <w:pPr>
        <w:bidi w:val="0"/>
      </w:pPr>
      <w:r>
        <w:rPr>
          <w:rStyle w:val="DefaultParagraphFont"/>
          <w:bdr w:val="nil"/>
          <w:rtl w:val="0"/>
        </w:rPr>
        <w:t>正确率：</w:t>
      </w:r>
      <w:r>
        <w:rPr>
          <w:rStyle w:val="DefaultParagraphFont"/>
          <w:color w:val="FF6600"/>
          <w:bdr w:val="nil"/>
          <w:rtl w:val="0"/>
        </w:rPr>
        <w:t>97.96%</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