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1.教师的职业道德区别于其他职业道德的显著标志是(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A.关爱学生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B.为人师表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1.76pt">
                  <v:imagedata r:id="rId6" o:title=""/>
                </v:shape>
              </w:pict>
            </w:r>
            <w:r>
              <w:pict>
                <v:shape id="_x0000_i1028" type="#_x0000_t75" style="height:9pt;width:54.76pt">
                  <v:imagedata r:id="rId7" o:title=""/>
                </v:shape>
              </w:pict>
            </w:r>
            <w:r>
              <w:t>49.28%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C.教书育人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2.76pt">
                  <v:imagedata r:id="rId8" o:title=""/>
                </v:shape>
              </w:pict>
            </w:r>
            <w:r>
              <w:pict>
                <v:shape id="_x0000_i1030" type="#_x0000_t75" style="height:9pt;width:63.76pt">
                  <v:imagedata r:id="rId9" o:title=""/>
                </v:shape>
              </w:pict>
            </w:r>
            <w:r>
              <w:t>40.58%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D.终身学习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10" o:title=""/>
                </v:shape>
              </w:pict>
            </w:r>
            <w:r>
              <w:pict>
                <v:shape id="_x0000_i1032" type="#_x0000_t75" style="height:9pt;width:102.01pt">
                  <v:imagedata r:id="rId11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49.28%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2.有的老师信奉马克思主义，忠诚于人民教育事业;有的老师崇拜“金钱”，信奉“关系学”，价值观混杂，社会风气不正，致使教师感到心理不平衡。这主要体现了( )对教师心理健康的影响。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A.教师职业因素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6.5pt">
                  <v:imagedata r:id="rId12" o:title=""/>
                </v:shape>
              </w:pict>
            </w:r>
            <w:r>
              <w:pict>
                <v:shape id="_x0000_i1034" type="#_x0000_t75" style="height:9pt;width:90.01pt">
                  <v:imagedata r:id="rId13" o:title=""/>
                </v:shape>
              </w:pict>
            </w:r>
            <w:r>
              <w:t>15.94%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B.教师社会因素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1.26pt">
                  <v:imagedata r:id="rId14" o:title=""/>
                </v:shape>
              </w:pict>
            </w:r>
            <w:r>
              <w:pict>
                <v:shape id="_x0000_i1036" type="#_x0000_t75" style="height:9pt;width:65.26pt">
                  <v:imagedata r:id="rId15" o:title=""/>
                </v:shape>
              </w:pict>
            </w:r>
            <w:r>
              <w:t>39.13%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C.教师个人因素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7.26pt">
                  <v:imagedata r:id="rId16" o:title=""/>
                </v:shape>
              </w:pict>
            </w:r>
            <w:r>
              <w:pict>
                <v:shape id="_x0000_i1038" type="#_x0000_t75" style="height:9pt;width:59.26pt">
                  <v:imagedata r:id="rId17" o:title=""/>
                </v:shape>
              </w:pict>
            </w:r>
            <w:r>
              <w:t>44.93%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D.教师家庭因素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39.13%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3.教师对自己影响学生学习行为和学习成绩的能力的主观判断称为( 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A.管理能力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.5pt">
                  <v:imagedata r:id="rId10" o:title=""/>
                </v:shape>
              </w:pict>
            </w:r>
            <w:r>
              <w:pict>
                <v:shape id="_x0000_i1041" type="#_x0000_t75" style="height:9pt;width:102.01pt">
                  <v:imagedata r:id="rId11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B.组织能力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8pt">
                  <v:imagedata r:id="rId19" o:title=""/>
                </v:shape>
              </w:pict>
            </w:r>
            <w:r>
              <w:pict>
                <v:shape id="_x0000_i1044" type="#_x0000_t75" style="height:9pt;width:88.51pt">
                  <v:imagedata r:id="rId20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D.教学效能感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3.26pt">
                  <v:imagedata r:id="rId21" o:title=""/>
                </v:shape>
              </w:pict>
            </w:r>
            <w:r>
              <w:pict>
                <v:shape id="_x0000_i1046" type="#_x0000_t75" style="height:9pt;width:23.25pt">
                  <v:imagedata r:id="rId22" o:title=""/>
                </v:shape>
              </w:pict>
            </w:r>
            <w:r>
              <w:t>78.26%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4.下列不属于意动要素差异的是(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A.学习坚持性高低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.5pt">
                  <v:imagedata r:id="rId10" o:title=""/>
                </v:shape>
              </w:pict>
            </w:r>
            <w:r>
              <w:pict>
                <v:shape id="_x0000_i1048" type="#_x0000_t75" style="height:9pt;width:102.01pt">
                  <v:imagedata r:id="rId11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B.学习兴趣或好奇心的高低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8pt">
                  <v:imagedata r:id="rId19" o:title=""/>
                </v:shape>
              </w:pict>
            </w:r>
            <w:r>
              <w:pict>
                <v:shape id="_x0000_i1050" type="#_x0000_t75" style="height:9pt;width:88.51pt">
                  <v:imagedata r:id="rId20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C.言语表达能力的差异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3.75pt">
                  <v:imagedata r:id="rId23" o:title=""/>
                </v:shape>
              </w:pict>
            </w:r>
            <w:r>
              <w:pict>
                <v:shape id="_x0000_i1052" type="#_x0000_t75" style="height:9pt;width:72.76pt">
                  <v:imagedata r:id="rId24" o:title=""/>
                </v:shape>
              </w:pict>
            </w:r>
            <w:r>
              <w:t>31.88%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D.冒险与谨慎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8.76pt">
                  <v:imagedata r:id="rId25" o:title=""/>
                </v:shape>
              </w:pict>
            </w:r>
            <w:r>
              <w:pict>
                <v:shape id="_x0000_i1054" type="#_x0000_t75" style="height:9pt;width:57.76pt">
                  <v:imagedata r:id="rId26" o:title=""/>
                </v:shape>
              </w:pict>
            </w:r>
            <w:r>
              <w:t>46.38%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17.39%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5.“元素周期表”的学习深化了学生对以前所学的“元素化合物”等知识的理解，这种迁移属于(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A.顺向、正迁移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42.76pt">
                  <v:imagedata r:id="rId8" o:title=""/>
                </v:shape>
              </w:pict>
            </w:r>
            <w:r>
              <w:pict>
                <v:shape id="_x0000_i1056" type="#_x0000_t75" style="height:9pt;width:63.76pt">
                  <v:imagedata r:id="rId9" o:title=""/>
                </v:shape>
              </w:pict>
            </w:r>
            <w:r>
              <w:t>40.58%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B.顺向、负迁移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.5pt">
                  <v:imagedata r:id="rId27" o:title=""/>
                </v:shape>
              </w:pict>
            </w:r>
            <w:r>
              <w:pict>
                <v:shape id="_x0000_i1058" type="#_x0000_t75" style="height:9pt;width:105.01pt">
                  <v:imagedata r:id="rId28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C.逆向、负迁移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.5pt">
                  <v:imagedata r:id="rId27" o:title=""/>
                </v:shape>
              </w:pict>
            </w:r>
            <w:r>
              <w:pict>
                <v:shape id="_x0000_i1060" type="#_x0000_t75" style="height:9pt;width:105.01pt">
                  <v:imagedata r:id="rId28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D.逆向、正迁移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0.01pt">
                  <v:imagedata r:id="rId29" o:title=""/>
                </v:shape>
              </w:pict>
            </w:r>
            <w:r>
              <w:pict>
                <v:shape id="_x0000_i1062" type="#_x0000_t75" style="height:9pt;width:46.51pt">
                  <v:imagedata r:id="rId30" o:title=""/>
                </v:shape>
              </w:pict>
            </w:r>
            <w:r>
              <w:t>56.52%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56.52%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