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2022教招每日一练（1月6日）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1.开放课堂教学模式属于( )教学模式。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A.人本主义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72.76pt">
                  <v:imagedata r:id="rId4" o:title=""/>
                </v:shape>
              </w:pict>
            </w:r>
            <w:r>
              <w:pict>
                <v:shape id="_x0000_i1026" type="#_x0000_t75" style="height:9pt;width:33.75pt">
                  <v:imagedata r:id="rId5" o:title=""/>
                </v:shape>
              </w:pict>
            </w:r>
            <w:r>
              <w:t>68.42%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B.行为主义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6.75pt">
                  <v:imagedata r:id="rId6" o:title=""/>
                </v:shape>
              </w:pict>
            </w:r>
            <w:r>
              <w:pict>
                <v:shape id="_x0000_i1028" type="#_x0000_t75" style="height:9pt;width:99.76pt">
                  <v:imagedata r:id="rId7" o:title=""/>
                </v:shape>
              </w:pict>
            </w:r>
            <w:r>
              <w:t>7.02%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C.建构主义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20.25pt">
                  <v:imagedata r:id="rId8" o:title=""/>
                </v:shape>
              </w:pict>
            </w:r>
            <w:r>
              <w:pict>
                <v:shape id="_x0000_i1030" type="#_x0000_t75" style="height:9pt;width:86.26pt">
                  <v:imagedata r:id="rId9" o:title=""/>
                </v:shape>
              </w:pict>
            </w:r>
            <w:r>
              <w:t>19.3%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D.认知主义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5.25pt">
                  <v:imagedata r:id="rId10" o:title=""/>
                </v:shape>
              </w:pict>
            </w:r>
            <w:r>
              <w:pict>
                <v:shape id="_x0000_i1032" type="#_x0000_t75" style="height:9pt;width:101.26pt">
                  <v:imagedata r:id="rId11" o:title=""/>
                </v:shape>
              </w:pict>
            </w:r>
            <w:r>
              <w:t>5.26%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68.42%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2.问题解决的特点，包括(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A.目的性、认知性、操作性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46.51pt">
                  <v:imagedata r:id="rId12" o:title=""/>
                </v:shape>
              </w:pict>
            </w:r>
            <w:r>
              <w:pict>
                <v:shape id="_x0000_i1034" type="#_x0000_t75" style="height:9pt;width:60.01pt">
                  <v:imagedata r:id="rId13" o:title=""/>
                </v:shape>
              </w:pict>
            </w:r>
            <w:r>
              <w:t>43.86%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B.目的性、序列性、操作性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25.5pt">
                  <v:imagedata r:id="rId14" o:title=""/>
                </v:shape>
              </w:pict>
            </w:r>
            <w:r>
              <w:pict>
                <v:shape id="_x0000_i1036" type="#_x0000_t75" style="height:9pt;width:81.01pt">
                  <v:imagedata r:id="rId15" o:title=""/>
                </v:shape>
              </w:pict>
            </w:r>
            <w:r>
              <w:t>24.56%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C客观性、认知性、操作性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.5pt">
                  <v:imagedata r:id="rId16" o:title=""/>
                </v:shape>
              </w:pict>
            </w:r>
            <w:r>
              <w:pict>
                <v:shape id="_x0000_i1038" type="#_x0000_t75" style="height:9pt;width:105.01pt">
                  <v:imagedata r:id="rId17" o:title=""/>
                </v:shape>
              </w:pict>
            </w:r>
            <w:r>
              <w:t>1.75%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D.目的性、认知性、序列性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31.5pt">
                  <v:imagedata r:id="rId18" o:title=""/>
                </v:shape>
              </w:pict>
            </w:r>
            <w:r>
              <w:pict>
                <v:shape id="_x0000_i1040" type="#_x0000_t75" style="height:9pt;width:75.01pt">
                  <v:imagedata r:id="rId19" o:title=""/>
                </v:shape>
              </w:pict>
            </w:r>
            <w:r>
              <w:t>29.82%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29.82%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3.我们可以发现，人们一般是在出生时就发展了喜怒哀惧的一般情绪，然后再逐渐发展出理智感、道德感等高级情感，而不是先有高级情感后才有一般情绪。这体现心理发展的(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A.阶段性与连续性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31.5pt">
                  <v:imagedata r:id="rId18" o:title=""/>
                </v:shape>
              </w:pict>
            </w:r>
            <w:r>
              <w:pict>
                <v:shape id="_x0000_i1042" type="#_x0000_t75" style="height:9pt;width:75.01pt">
                  <v:imagedata r:id="rId19" o:title=""/>
                </v:shape>
              </w:pict>
            </w:r>
            <w:r>
              <w:t>29.82%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B.定向性与顺序性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37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69.01pt">
                  <v:imagedata r:id="rId20" o:title=""/>
                </v:shape>
              </w:pict>
            </w:r>
            <w:r>
              <w:pict>
                <v:shape id="_x0000_i1044" type="#_x0000_t75" style="height:9pt;width:37.51pt">
                  <v:imagedata r:id="rId21" o:title=""/>
                </v:shape>
              </w:pict>
            </w:r>
            <w:r>
              <w:t>64.91%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C.不平衡性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5.25pt">
                  <v:imagedata r:id="rId10" o:title=""/>
                </v:shape>
              </w:pict>
            </w:r>
            <w:r>
              <w:pict>
                <v:shape id="_x0000_i1046" type="#_x0000_t75" style="height:9pt;width:101.26pt">
                  <v:imagedata r:id="rId11" o:title=""/>
                </v:shape>
              </w:pict>
            </w:r>
            <w:r>
              <w:t>5.26%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D.差异性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06.51pt">
                  <v:imagedata r:id="rId22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64.91%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4.具体规定国家各级各类学校性质、任务、入学条件、修业年限以及彼此之间的关系的是(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A.学制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65.26pt">
                  <v:imagedata r:id="rId23" o:title=""/>
                </v:shape>
              </w:pict>
            </w:r>
            <w:r>
              <w:pict>
                <v:shape id="_x0000_i1049" type="#_x0000_t75" style="height:9pt;width:41.26pt">
                  <v:imagedata r:id="rId24" o:title=""/>
                </v:shape>
              </w:pict>
            </w:r>
            <w:r>
              <w:t>61.4%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B.培养目标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12.75pt">
                  <v:imagedata r:id="rId25" o:title=""/>
                </v:shape>
              </w:pict>
            </w:r>
            <w:r>
              <w:pict>
                <v:shape id="_x0000_i1051" type="#_x0000_t75" style="height:9pt;width:93.76pt">
                  <v:imagedata r:id="rId26" o:title=""/>
                </v:shape>
              </w:pict>
            </w:r>
            <w:r>
              <w:t>12.28%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C.教育方针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20.25pt">
                  <v:imagedata r:id="rId8" o:title=""/>
                </v:shape>
              </w:pict>
            </w:r>
            <w:r>
              <w:pict>
                <v:shape id="_x0000_i1053" type="#_x0000_t75" style="height:9pt;width:86.26pt">
                  <v:imagedata r:id="rId9" o:title=""/>
                </v:shape>
              </w:pict>
            </w:r>
            <w:r>
              <w:t>19.3%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D.课程计划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6.75pt">
                  <v:imagedata r:id="rId6" o:title=""/>
                </v:shape>
              </w:pict>
            </w:r>
            <w:r>
              <w:pict>
                <v:shape id="_x0000_i1055" type="#_x0000_t75" style="height:9pt;width:99.76pt">
                  <v:imagedata r:id="rId7" o:title=""/>
                </v:shape>
              </w:pict>
            </w:r>
            <w:r>
              <w:t>7.02%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61.4%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5.在良好的环境中，有的人却没有什么成就，甚至走向与环境所要求的相反道路;在恶劣的环境中，有的人却出污泥而不染。这种现象说明(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A.人的发展不受环境的影响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3pt">
                  <v:imagedata r:id="rId27" o:title=""/>
                </v:shape>
              </w:pict>
            </w:r>
            <w:r>
              <w:pict>
                <v:shape id="_x0000_i1057" type="#_x0000_t75" style="height:9pt;width:103.51pt">
                  <v:imagedata r:id="rId28" o:title=""/>
                </v:shape>
              </w:pict>
            </w:r>
            <w:r>
              <w:t>3.51%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B.人们接受环境不是消极被动的，而是积极的能动的实践过程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54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100.51pt">
                  <v:imagedata r:id="rId29" o:title=""/>
                </v:shape>
              </w:pict>
            </w:r>
            <w:r>
              <w:pict>
                <v:shape id="_x0000_i1059" type="#_x0000_t75" style="height:9pt;width:6pt">
                  <v:imagedata r:id="rId30" o:title=""/>
                </v:shape>
              </w:pict>
            </w:r>
            <w:r>
              <w:t>94.74%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C.好的环境不利于人的发展，坏的环境更对人的发展有利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1.5pt">
                  <v:imagedata r:id="rId16" o:title=""/>
                </v:shape>
              </w:pict>
            </w:r>
            <w:r>
              <w:pict>
                <v:shape id="_x0000_i1061" type="#_x0000_t75" style="height:9pt;width:105.01pt">
                  <v:imagedata r:id="rId17" o:title=""/>
                </v:shape>
              </w:pict>
            </w:r>
            <w:r>
              <w:t>1.75%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D.人是环境的奴隶，个人发展是好是坏，完全由环境来决定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62" type="#_x0000_t75" style="height:9pt;width:106.51pt">
                  <v:imagedata r:id="rId22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94.74%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