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2022教招每日一练（1月11日）</w:t>
      </w:r>
    </w:p>
    <w:p w:rsidR="00A77B3E">
      <w:pPr>
        <w:rPr>
          <w:b/>
          <w:sz w:val="32"/>
        </w:rPr>
      </w:pPr>
      <w:r>
        <w:rPr>
          <w:b w:val="0"/>
          <w:color w:val="000000"/>
          <w:sz w:val="24"/>
        </w:rPr>
        <w:t>1.我国义务教育经费的主要来源是(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A.教育专项</w:t>
            </w:r>
          </w:p>
        </w:tc>
        <w:tc>
          <w:tcPr>
            <w:shd w:val="clear" w:color="auto" w:fill="FFFFFF"/>
            <w:vAlign w:val="center"/>
          </w:tcPr>
          <w:p>
            <w:pPr>
              <w:jc w:val="center"/>
            </w:pPr>
            <w:r>
              <w:t>11</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22.5pt">
                  <v:imagedata r:id="rId4" o:title=""/>
                </v:shape>
              </w:pict>
            </w:r>
            <w:r>
              <w:pict>
                <v:shape id="_x0000_i1026" type="#_x0000_t75" style="height:9pt;width:84.01pt">
                  <v:imagedata r:id="rId5" o:title=""/>
                </v:shape>
              </w:pict>
            </w:r>
            <w:r>
              <w:t>21.15%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B.学生学费</w:t>
            </w:r>
          </w:p>
        </w:tc>
        <w:tc>
          <w:tcPr>
            <w:shd w:val="clear" w:color="auto" w:fill="FAFAFA"/>
            <w:vAlign w:val="center"/>
          </w:tcPr>
          <w:p>
            <w:pPr>
              <w:jc w:val="center"/>
            </w:pPr>
            <w:r>
              <w:t>1</w:t>
            </w:r>
          </w:p>
        </w:tc>
        <w:tc>
          <w:tcPr>
            <w:shd w:val="clear" w:color="auto" w:fill="FAFAFA"/>
            <w:vAlign w:val="center"/>
          </w:tcPr>
          <w:p>
            <w:pPr>
              <w:jc w:val="left"/>
            </w:pPr>
            <w:r>
              <w:pict>
                <v:shape id="_x0000_i1027" type="#_x0000_t75" style="height:9pt;width:1.5pt">
                  <v:imagedata r:id="rId6" o:title=""/>
                </v:shape>
              </w:pict>
            </w:r>
            <w:r>
              <w:pict>
                <v:shape id="_x0000_i1028" type="#_x0000_t75" style="height:9pt;width:105.01pt">
                  <v:imagedata r:id="rId7" o:title=""/>
                </v:shape>
              </w:pict>
            </w:r>
            <w:r>
              <w:t>1.92%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C.社会集资</w:t>
            </w:r>
          </w:p>
        </w:tc>
        <w:tc>
          <w:tcPr>
            <w:shd w:val="clear" w:color="auto" w:fill="FFFFFF"/>
            <w:vAlign w:val="center"/>
          </w:tcPr>
          <w:p>
            <w:pPr>
              <w:jc w:val="center"/>
            </w:pPr>
            <w:r>
              <w:t>0</w:t>
            </w:r>
          </w:p>
        </w:tc>
        <w:tc>
          <w:tcPr>
            <w:shd w:val="clear" w:color="auto" w:fill="FFFFFF"/>
            <w:vAlign w:val="center"/>
          </w:tcPr>
          <w:p>
            <w:pPr>
              <w:jc w:val="left"/>
            </w:pPr>
            <w:r>
              <w:pict>
                <v:shape id="_x0000_i1029"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D.国家财政</w:t>
            </w:r>
            <w:r>
              <w:rPr>
                <w:rStyle w:val="DefaultParagraphFont"/>
                <w:bdr w:val="nil"/>
                <w:rtl w:val="0"/>
              </w:rPr>
              <w:t> </w:t>
            </w:r>
            <w:r>
              <w:rPr>
                <w:rStyle w:val="DefaultParagraphFont"/>
                <w:color w:val="EFA030"/>
                <w:bdr w:val="nil"/>
                <w:rtl w:val="0"/>
              </w:rPr>
              <w:t>(答案)</w:t>
            </w:r>
          </w:p>
        </w:tc>
        <w:tc>
          <w:tcPr>
            <w:shd w:val="clear" w:color="auto" w:fill="FAFAFA"/>
            <w:vAlign w:val="center"/>
          </w:tcPr>
          <w:p>
            <w:pPr>
              <w:bidi w:val="0"/>
              <w:jc w:val="center"/>
            </w:pPr>
            <w:r>
              <w:t>40</w:t>
            </w:r>
          </w:p>
        </w:tc>
        <w:tc>
          <w:tcPr>
            <w:shd w:val="clear" w:color="auto" w:fill="FAFAFA"/>
            <w:vAlign w:val="center"/>
          </w:tcPr>
          <w:p>
            <w:pPr>
              <w:bidi w:val="0"/>
              <w:jc w:val="left"/>
            </w:pPr>
            <w:r>
              <w:pict>
                <v:shape id="_x0000_i1030" type="#_x0000_t75" style="height:9pt;width:81.76pt">
                  <v:imagedata r:id="rId9" o:title=""/>
                </v:shape>
              </w:pict>
            </w:r>
            <w:r>
              <w:pict>
                <v:shape id="_x0000_i1031" type="#_x0000_t75" style="height:9pt;width:24.75pt">
                  <v:imagedata r:id="rId10" o:title=""/>
                </v:shape>
              </w:pict>
            </w:r>
            <w:r>
              <w:t>76.92%</w:t>
            </w:r>
          </w:p>
        </w:tc>
      </w:tr>
    </w:tbl>
    <w:p>
      <w:pPr>
        <w:bidi w:val="0"/>
      </w:pPr>
      <w:r>
        <w:rPr>
          <w:rStyle w:val="DefaultParagraphFont"/>
          <w:bdr w:val="nil"/>
          <w:rtl w:val="0"/>
        </w:rPr>
        <w:t>正确率：</w:t>
      </w:r>
      <w:r>
        <w:rPr>
          <w:rStyle w:val="DefaultParagraphFont"/>
          <w:color w:val="FF6600"/>
          <w:bdr w:val="nil"/>
          <w:rtl w:val="0"/>
        </w:rPr>
        <w:t>76.92%</w:t>
      </w:r>
    </w:p>
    <w:p>
      <w:pPr>
        <w:bidi w:val="0"/>
      </w:pPr>
    </w:p>
    <w:p>
      <w:pPr>
        <w:bidi w:val="0"/>
      </w:pPr>
    </w:p>
    <w:p>
      <w:pPr>
        <w:bidi w:val="0"/>
      </w:pPr>
      <w:r>
        <w:rPr>
          <w:b w:val="0"/>
          <w:color w:val="000000"/>
          <w:sz w:val="24"/>
        </w:rPr>
        <w:t>2.我国的教育基本法是(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A.《中华人民共和国教育法》</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51</w:t>
            </w:r>
          </w:p>
        </w:tc>
        <w:tc>
          <w:tcPr>
            <w:shd w:val="clear" w:color="auto" w:fill="FFFFFF"/>
            <w:vAlign w:val="center"/>
          </w:tcPr>
          <w:p>
            <w:pPr>
              <w:bidi w:val="0"/>
              <w:jc w:val="left"/>
            </w:pPr>
            <w:r>
              <w:pict>
                <v:shape id="_x0000_i1032" type="#_x0000_t75" style="height:9pt;width:104.26pt">
                  <v:imagedata r:id="rId11" o:title=""/>
                </v:shape>
              </w:pict>
            </w:r>
            <w:r>
              <w:pict>
                <v:shape id="_x0000_i1033" type="#_x0000_t75" style="height:9pt;width:2.25pt">
                  <v:imagedata r:id="rId12" o:title=""/>
                </v:shape>
              </w:pict>
            </w:r>
            <w:r>
              <w:t>98.08%</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B.《教师法》</w:t>
            </w:r>
          </w:p>
        </w:tc>
        <w:tc>
          <w:tcPr>
            <w:shd w:val="clear" w:color="auto" w:fill="FAFAFA"/>
            <w:vAlign w:val="center"/>
          </w:tcPr>
          <w:p>
            <w:pPr>
              <w:bidi w:val="0"/>
              <w:jc w:val="center"/>
            </w:pPr>
            <w:r>
              <w:t>0</w:t>
            </w:r>
          </w:p>
        </w:tc>
        <w:tc>
          <w:tcPr>
            <w:shd w:val="clear" w:color="auto" w:fill="FAFAFA"/>
            <w:vAlign w:val="center"/>
          </w:tcPr>
          <w:p>
            <w:pPr>
              <w:bidi w:val="0"/>
              <w:jc w:val="left"/>
            </w:pPr>
            <w:r>
              <w:pict>
                <v:shape id="_x0000_i1034"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C.《义务教育法》</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5" type="#_x0000_t75" style="height:9pt;width:1.5pt">
                  <v:imagedata r:id="rId6" o:title=""/>
                </v:shape>
              </w:pict>
            </w:r>
            <w:r>
              <w:pict>
                <v:shape id="_x0000_i1036" type="#_x0000_t75" style="height:9pt;width:105.01pt">
                  <v:imagedata r:id="rId7" o:title=""/>
                </v:shape>
              </w:pict>
            </w:r>
            <w:r>
              <w:t>1.92%</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D.《职业教育法》</w:t>
            </w:r>
          </w:p>
        </w:tc>
        <w:tc>
          <w:tcPr>
            <w:shd w:val="clear" w:color="auto" w:fill="FAFAFA"/>
            <w:vAlign w:val="center"/>
          </w:tcPr>
          <w:p>
            <w:pPr>
              <w:bidi w:val="0"/>
              <w:jc w:val="center"/>
            </w:pPr>
            <w:r>
              <w:t>0</w:t>
            </w:r>
          </w:p>
        </w:tc>
        <w:tc>
          <w:tcPr>
            <w:shd w:val="clear" w:color="auto" w:fill="FAFAFA"/>
            <w:vAlign w:val="center"/>
          </w:tcPr>
          <w:p>
            <w:pPr>
              <w:bidi w:val="0"/>
              <w:jc w:val="left"/>
            </w:pPr>
            <w:r>
              <w:pict>
                <v:shape id="_x0000_i1037"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98.08%</w:t>
      </w:r>
    </w:p>
    <w:p>
      <w:pPr>
        <w:bidi w:val="0"/>
      </w:pPr>
    </w:p>
    <w:p>
      <w:pPr>
        <w:bidi w:val="0"/>
      </w:pPr>
    </w:p>
    <w:p>
      <w:pPr>
        <w:bidi w:val="0"/>
      </w:pPr>
      <w:r>
        <w:rPr>
          <w:b w:val="0"/>
          <w:color w:val="000000"/>
          <w:sz w:val="24"/>
        </w:rPr>
        <w:t>3.我国《义务教育法》规定，适龄儿童，少年的父母或者其他法定监护人无正当理由未依照本法规定送适龄儿童、少年接受义务教育的，由( )给予批评教育，责令限期改正。</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A.义务教育学校</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8"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B.当地乡镇人民政府或者县级政府教育行政部门</w:t>
            </w:r>
            <w:r>
              <w:rPr>
                <w:rStyle w:val="DefaultParagraphFont"/>
                <w:bdr w:val="nil"/>
                <w:rtl w:val="0"/>
              </w:rPr>
              <w:t> </w:t>
            </w:r>
            <w:r>
              <w:rPr>
                <w:rStyle w:val="DefaultParagraphFont"/>
                <w:color w:val="EFA030"/>
                <w:bdr w:val="nil"/>
                <w:rtl w:val="0"/>
              </w:rPr>
              <w:t>(答案)</w:t>
            </w:r>
          </w:p>
        </w:tc>
        <w:tc>
          <w:tcPr>
            <w:shd w:val="clear" w:color="auto" w:fill="FAFAFA"/>
            <w:vAlign w:val="center"/>
          </w:tcPr>
          <w:p>
            <w:pPr>
              <w:bidi w:val="0"/>
              <w:jc w:val="center"/>
            </w:pPr>
            <w:r>
              <w:t>49</w:t>
            </w:r>
          </w:p>
        </w:tc>
        <w:tc>
          <w:tcPr>
            <w:shd w:val="clear" w:color="auto" w:fill="FAFAFA"/>
            <w:vAlign w:val="center"/>
          </w:tcPr>
          <w:p>
            <w:pPr>
              <w:bidi w:val="0"/>
              <w:jc w:val="left"/>
            </w:pPr>
            <w:r>
              <w:pict>
                <v:shape id="_x0000_i1039" type="#_x0000_t75" style="height:9pt;width:99.76pt">
                  <v:imagedata r:id="rId13" o:title=""/>
                </v:shape>
              </w:pict>
            </w:r>
            <w:r>
              <w:pict>
                <v:shape id="_x0000_i1040" type="#_x0000_t75" style="height:9pt;width:6.75pt">
                  <v:imagedata r:id="rId14" o:title=""/>
                </v:shape>
              </w:pict>
            </w:r>
            <w:r>
              <w:t>94.23%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C.当地乡镇(街道)党委</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1" type="#_x0000_t75" style="height:9pt;width:3.75pt">
                  <v:imagedata r:id="rId15" o:title=""/>
                </v:shape>
              </w:pict>
            </w:r>
            <w:r>
              <w:pict>
                <v:shape id="_x0000_i1042" type="#_x0000_t75" style="height:9pt;width:102.76pt">
                  <v:imagedata r:id="rId16" o:title=""/>
                </v:shape>
              </w:pict>
            </w:r>
            <w:r>
              <w:t>3.85%</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D.当地人民法院</w:t>
            </w:r>
          </w:p>
        </w:tc>
        <w:tc>
          <w:tcPr>
            <w:shd w:val="clear" w:color="auto" w:fill="FAFAFA"/>
            <w:vAlign w:val="center"/>
          </w:tcPr>
          <w:p>
            <w:pPr>
              <w:bidi w:val="0"/>
              <w:jc w:val="center"/>
            </w:pPr>
            <w:r>
              <w:t>1</w:t>
            </w:r>
          </w:p>
        </w:tc>
        <w:tc>
          <w:tcPr>
            <w:shd w:val="clear" w:color="auto" w:fill="FAFAFA"/>
            <w:vAlign w:val="center"/>
          </w:tcPr>
          <w:p>
            <w:pPr>
              <w:bidi w:val="0"/>
              <w:jc w:val="left"/>
            </w:pPr>
            <w:r>
              <w:pict>
                <v:shape id="_x0000_i1043" type="#_x0000_t75" style="height:9pt;width:1.5pt">
                  <v:imagedata r:id="rId6" o:title=""/>
                </v:shape>
              </w:pict>
            </w:r>
            <w:r>
              <w:pict>
                <v:shape id="_x0000_i1044" type="#_x0000_t75" style="height:9pt;width:105.01pt">
                  <v:imagedata r:id="rId7" o:title=""/>
                </v:shape>
              </w:pict>
            </w:r>
            <w:r>
              <w:t>1.92%</w:t>
            </w:r>
          </w:p>
        </w:tc>
      </w:tr>
    </w:tbl>
    <w:p>
      <w:pPr>
        <w:bidi w:val="0"/>
      </w:pPr>
      <w:r>
        <w:rPr>
          <w:rStyle w:val="DefaultParagraphFont"/>
          <w:bdr w:val="nil"/>
          <w:rtl w:val="0"/>
        </w:rPr>
        <w:t>正确率：</w:t>
      </w:r>
      <w:r>
        <w:rPr>
          <w:rStyle w:val="DefaultParagraphFont"/>
          <w:color w:val="FF6600"/>
          <w:bdr w:val="nil"/>
          <w:rtl w:val="0"/>
        </w:rPr>
        <w:t>94.23%</w:t>
      </w:r>
    </w:p>
    <w:p>
      <w:pPr>
        <w:bidi w:val="0"/>
      </w:pPr>
    </w:p>
    <w:p>
      <w:pPr>
        <w:bidi w:val="0"/>
      </w:pPr>
    </w:p>
    <w:p>
      <w:pPr>
        <w:bidi w:val="0"/>
      </w:pPr>
      <w:r>
        <w:rPr>
          <w:b w:val="0"/>
          <w:color w:val="000000"/>
          <w:sz w:val="24"/>
        </w:rPr>
        <w:t>4.学生为保持信息，对信息进行不断重复，以达到巩固所学知识，这里所采用的策略是(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A.复述策略</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50</w:t>
            </w:r>
          </w:p>
        </w:tc>
        <w:tc>
          <w:tcPr>
            <w:shd w:val="clear" w:color="auto" w:fill="FFFFFF"/>
            <w:vAlign w:val="center"/>
          </w:tcPr>
          <w:p>
            <w:pPr>
              <w:bidi w:val="0"/>
              <w:jc w:val="left"/>
            </w:pPr>
            <w:r>
              <w:pict>
                <v:shape id="_x0000_i1045" type="#_x0000_t75" style="height:9pt;width:102.01pt">
                  <v:imagedata r:id="rId17" o:title=""/>
                </v:shape>
              </w:pict>
            </w:r>
            <w:r>
              <w:pict>
                <v:shape id="_x0000_i1046" type="#_x0000_t75" style="height:9pt;width:4.5pt">
                  <v:imagedata r:id="rId18" o:title=""/>
                </v:shape>
              </w:pict>
            </w:r>
            <w:r>
              <w:t>96.15%</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B.精细加工策略</w:t>
            </w:r>
          </w:p>
        </w:tc>
        <w:tc>
          <w:tcPr>
            <w:shd w:val="clear" w:color="auto" w:fill="FAFAFA"/>
            <w:vAlign w:val="center"/>
          </w:tcPr>
          <w:p>
            <w:pPr>
              <w:bidi w:val="0"/>
              <w:jc w:val="center"/>
            </w:pPr>
            <w:r>
              <w:t>1</w:t>
            </w:r>
          </w:p>
        </w:tc>
        <w:tc>
          <w:tcPr>
            <w:shd w:val="clear" w:color="auto" w:fill="FAFAFA"/>
            <w:vAlign w:val="center"/>
          </w:tcPr>
          <w:p>
            <w:pPr>
              <w:bidi w:val="0"/>
              <w:jc w:val="left"/>
            </w:pPr>
            <w:r>
              <w:pict>
                <v:shape id="_x0000_i1047" type="#_x0000_t75" style="height:9pt;width:1.5pt">
                  <v:imagedata r:id="rId6" o:title=""/>
                </v:shape>
              </w:pict>
            </w:r>
            <w:r>
              <w:pict>
                <v:shape id="_x0000_i1048" type="#_x0000_t75" style="height:9pt;width:105.01pt">
                  <v:imagedata r:id="rId7" o:title=""/>
                </v:shape>
              </w:pict>
            </w:r>
            <w:r>
              <w:t>1.92%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C.组织策略</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9" type="#_x0000_t75" style="height:9pt;width:1.5pt">
                  <v:imagedata r:id="rId6" o:title=""/>
                </v:shape>
              </w:pict>
            </w:r>
            <w:r>
              <w:pict>
                <v:shape id="_x0000_i1050" type="#_x0000_t75" style="height:9pt;width:105.01pt">
                  <v:imagedata r:id="rId7" o:title=""/>
                </v:shape>
              </w:pict>
            </w:r>
            <w:r>
              <w:t>1.92%</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D.计划策略</w:t>
            </w:r>
          </w:p>
        </w:tc>
        <w:tc>
          <w:tcPr>
            <w:shd w:val="clear" w:color="auto" w:fill="FAFAFA"/>
            <w:vAlign w:val="center"/>
          </w:tcPr>
          <w:p>
            <w:pPr>
              <w:bidi w:val="0"/>
              <w:jc w:val="center"/>
            </w:pPr>
            <w:r>
              <w:t>0</w:t>
            </w:r>
          </w:p>
        </w:tc>
        <w:tc>
          <w:tcPr>
            <w:shd w:val="clear" w:color="auto" w:fill="FAFAFA"/>
            <w:vAlign w:val="center"/>
          </w:tcPr>
          <w:p>
            <w:pPr>
              <w:bidi w:val="0"/>
              <w:jc w:val="left"/>
            </w:pPr>
            <w:r>
              <w:pict>
                <v:shape id="_x0000_i1051"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96.15%</w:t>
      </w:r>
    </w:p>
    <w:p>
      <w:pPr>
        <w:bidi w:val="0"/>
      </w:pPr>
    </w:p>
    <w:p>
      <w:pPr>
        <w:bidi w:val="0"/>
      </w:pPr>
    </w:p>
    <w:p>
      <w:pPr>
        <w:bidi w:val="0"/>
      </w:pPr>
      <w:r>
        <w:rPr>
          <w:b w:val="0"/>
          <w:color w:val="000000"/>
          <w:sz w:val="24"/>
        </w:rPr>
        <w:t>5.下列作品中不是高尔基自传体三部曲的是(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A.《童年》</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2" type="#_x0000_t75" style="height:9pt;width:7.5pt">
                  <v:imagedata r:id="rId19" o:title=""/>
                </v:shape>
              </w:pict>
            </w:r>
            <w:r>
              <w:pict>
                <v:shape id="_x0000_i1053" type="#_x0000_t75" style="height:9pt;width:99.01pt">
                  <v:imagedata r:id="rId20" o:title=""/>
                </v:shape>
              </w:pict>
            </w:r>
            <w:r>
              <w:t>7.69%</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B.《少年》</w:t>
            </w:r>
            <w:r>
              <w:rPr>
                <w:rStyle w:val="DefaultParagraphFont"/>
                <w:bdr w:val="nil"/>
                <w:rtl w:val="0"/>
              </w:rPr>
              <w:t> </w:t>
            </w:r>
            <w:r>
              <w:rPr>
                <w:rStyle w:val="DefaultParagraphFont"/>
                <w:color w:val="EFA030"/>
                <w:bdr w:val="nil"/>
                <w:rtl w:val="0"/>
              </w:rPr>
              <w:t>(答案)</w:t>
            </w:r>
          </w:p>
        </w:tc>
        <w:tc>
          <w:tcPr>
            <w:shd w:val="clear" w:color="auto" w:fill="FAFAFA"/>
            <w:vAlign w:val="center"/>
          </w:tcPr>
          <w:p>
            <w:pPr>
              <w:bidi w:val="0"/>
              <w:jc w:val="center"/>
            </w:pPr>
            <w:r>
              <w:t>36</w:t>
            </w:r>
          </w:p>
        </w:tc>
        <w:tc>
          <w:tcPr>
            <w:shd w:val="clear" w:color="auto" w:fill="FAFAFA"/>
            <w:vAlign w:val="center"/>
          </w:tcPr>
          <w:p>
            <w:pPr>
              <w:bidi w:val="0"/>
              <w:jc w:val="left"/>
            </w:pPr>
            <w:r>
              <w:pict>
                <v:shape id="_x0000_i1054" type="#_x0000_t75" style="height:9pt;width:73.51pt">
                  <v:imagedata r:id="rId21" o:title=""/>
                </v:shape>
              </w:pict>
            </w:r>
            <w:r>
              <w:pict>
                <v:shape id="_x0000_i1055" type="#_x0000_t75" style="height:9pt;width:33pt">
                  <v:imagedata r:id="rId22" o:title=""/>
                </v:shape>
              </w:pict>
            </w:r>
            <w:r>
              <w:t>69.23%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C.《在人间》</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56" type="#_x0000_t75" style="height:9pt;width:12pt">
                  <v:imagedata r:id="rId23" o:title=""/>
                </v:shape>
              </w:pict>
            </w:r>
            <w:r>
              <w:pict>
                <v:shape id="_x0000_i1057" type="#_x0000_t75" style="height:9pt;width:94.51pt">
                  <v:imagedata r:id="rId24" o:title=""/>
                </v:shape>
              </w:pict>
            </w:r>
            <w:r>
              <w:t>11.54%</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D.《我的大学》</w:t>
            </w:r>
          </w:p>
        </w:tc>
        <w:tc>
          <w:tcPr>
            <w:shd w:val="clear" w:color="auto" w:fill="FAFAFA"/>
            <w:vAlign w:val="center"/>
          </w:tcPr>
          <w:p>
            <w:pPr>
              <w:bidi w:val="0"/>
              <w:jc w:val="center"/>
            </w:pPr>
            <w:r>
              <w:t>6</w:t>
            </w:r>
          </w:p>
        </w:tc>
        <w:tc>
          <w:tcPr>
            <w:shd w:val="clear" w:color="auto" w:fill="FAFAFA"/>
            <w:vAlign w:val="center"/>
          </w:tcPr>
          <w:p>
            <w:pPr>
              <w:bidi w:val="0"/>
              <w:jc w:val="left"/>
            </w:pPr>
            <w:r>
              <w:pict>
                <v:shape id="_x0000_i1058" type="#_x0000_t75" style="height:9pt;width:12pt">
                  <v:imagedata r:id="rId23" o:title=""/>
                </v:shape>
              </w:pict>
            </w:r>
            <w:r>
              <w:pict>
                <v:shape id="_x0000_i1059" type="#_x0000_t75" style="height:9pt;width:94.51pt">
                  <v:imagedata r:id="rId24" o:title=""/>
                </v:shape>
              </w:pict>
            </w:r>
            <w:r>
              <w:t>11.54%</w:t>
            </w:r>
          </w:p>
        </w:tc>
      </w:tr>
    </w:tbl>
    <w:p>
      <w:pPr>
        <w:bidi w:val="0"/>
      </w:pPr>
      <w:r>
        <w:rPr>
          <w:rStyle w:val="DefaultParagraphFont"/>
          <w:bdr w:val="nil"/>
          <w:rtl w:val="0"/>
        </w:rPr>
        <w:t>正确率：</w:t>
      </w:r>
      <w:r>
        <w:rPr>
          <w:rStyle w:val="DefaultParagraphFont"/>
          <w:color w:val="FF6600"/>
          <w:bdr w:val="nil"/>
          <w:rtl w:val="0"/>
        </w:rPr>
        <w:t>69.23%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