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2022教招每日一练（1月21日）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王老师十分注重培养学生的学习动机，对于某些对学习没有什么动机的学生他会及时帮助他们调整心态，把学生的学习动机激发出来;对于那些每天都对学习充满过剩动机的学生及时进行思想工作，使其做出适当的调整，一段时间后，学生们的成绩均有所提高。这里体现的动机与学习效果的关系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A.学习动机越大，其学习效果越好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pt">
                  <v:imagedata r:id="rId4" o:title=""/>
                </v:shape>
              </w:pict>
            </w:r>
            <w:r>
              <w:pict>
                <v:shape id="_x0000_i1026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B.学习动机越小，其学习效果越好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C.学习动机与学习效果不是绝对的正比反比关系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3.01pt">
                  <v:imagedata r:id="rId8" o:title=""/>
                </v:shape>
              </w:pict>
            </w:r>
            <w:r>
              <w:pict>
                <v:shape id="_x0000_i1030" type="#_x0000_t75" style="height:9pt;width:13.5pt">
                  <v:imagedata r:id="rId9" o:title=""/>
                </v:shape>
              </w:pict>
            </w:r>
            <w:r>
              <w:t>87.88%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D.学习动机与学习效果是绝对的正比反比关系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2.我国古代先哲早就提出，学习可以“温故而知新”，从迁移的观点来看，这是一种( )。(单选)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7.51pt">
                  <v:imagedata r:id="rId11" o:title=""/>
                </v:shape>
              </w:pict>
            </w:r>
            <w:r>
              <w:pict>
                <v:shape id="_x0000_i1033" type="#_x0000_t75" style="height:9pt;width:39.01pt">
                  <v:imagedata r:id="rId12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B.逆向正迁移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5.25pt">
                  <v:imagedata r:id="rId13" o:title=""/>
                </v:shape>
              </w:pict>
            </w:r>
            <w:r>
              <w:pict>
                <v:shape id="_x0000_i1035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C.顺向负迁移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pt">
                  <v:imagedata r:id="rId6" o:title=""/>
                </v:shape>
              </w:pict>
            </w:r>
            <w:r>
              <w:pict>
                <v:shape id="_x0000_i1037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D.逆向负迁移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3.学生把需要记忆的内容用彩色笔圈起来，帮助学习。这种学习策略是(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A.精细加工策略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0pt">
                  <v:imagedata r:id="rId15" o:title=""/>
                </v:shape>
              </w:pict>
            </w:r>
            <w:r>
              <w:pict>
                <v:shape id="_x0000_i1040" type="#_x0000_t75" style="height:9pt;width:76.51pt">
                  <v:imagedata r:id="rId16" o:title=""/>
                </v:shape>
              </w:pict>
            </w:r>
            <w:r>
              <w:t>28.79%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B.复述策略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7.51pt">
                  <v:imagedata r:id="rId11" o:title=""/>
                </v:shape>
              </w:pict>
            </w:r>
            <w:r>
              <w:pict>
                <v:shape id="_x0000_i1042" type="#_x0000_t75" style="height:9pt;width:39.01pt">
                  <v:imagedata r:id="rId12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17" o:title=""/>
                </v:shape>
              </w:pict>
            </w:r>
            <w:r>
              <w:pict>
                <v:shape id="_x0000_i1044" type="#_x0000_t75" style="height:9pt;width:100.51pt">
                  <v:imagedata r:id="rId18" o:title=""/>
                </v:shape>
              </w:pict>
            </w:r>
            <w:r>
              <w:t>6.06%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D.资源管理策略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.5pt">
                  <v:imagedata r:id="rId19" o:title=""/>
                </v:shape>
              </w:pict>
            </w:r>
            <w:r>
              <w:pict>
                <v:shape id="_x0000_i1046" type="#_x0000_t75" style="height:9pt;width:105.01pt">
                  <v:imagedata r:id="rId20" o:title=""/>
                </v:shape>
              </w:pict>
            </w:r>
            <w:r>
              <w:t>1.52%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4.运用缩减和编歌诀的方法进行记忆的学习策略是(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6" o:title=""/>
                </v:shape>
              </w:pict>
            </w:r>
            <w:r>
              <w:pict>
                <v:shape id="_x0000_i1048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3.01pt">
                  <v:imagedata r:id="rId8" o:title=""/>
                </v:shape>
              </w:pict>
            </w:r>
            <w:r>
              <w:pict>
                <v:shape id="_x0000_i1050" type="#_x0000_t75" style="height:9pt;width:13.5pt">
                  <v:imagedata r:id="rId9" o:title=""/>
                </v:shape>
              </w:pict>
            </w:r>
            <w:r>
              <w:t>87.88%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9pt">
                  <v:imagedata r:id="rId4" o:title=""/>
                </v:shape>
              </w:pict>
            </w:r>
            <w:r>
              <w:pict>
                <v:shape id="_x0000_i1052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D.监控策略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5.奥苏贝尔提出的三个主要影响迁移的认知结构变量是(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A.结构性，可操作性和可辨别性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8.5pt">
                  <v:imagedata r:id="rId21" o:title=""/>
                </v:shape>
              </w:pict>
            </w:r>
            <w:r>
              <w:pict>
                <v:shape id="_x0000_i1055" type="#_x0000_t75" style="height:9pt;width:78.01pt">
                  <v:imagedata r:id="rId22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B.稳定性，可利用性和结构性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7.25pt">
                  <v:imagedata r:id="rId23" o:title=""/>
                </v:shape>
              </w:pict>
            </w:r>
            <w:r>
              <w:pict>
                <v:shape id="_x0000_i1057" type="#_x0000_t75" style="height:9pt;width:89.26pt">
                  <v:imagedata r:id="rId24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C.可操作性，可利用性和结构性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0.25pt">
                  <v:imagedata r:id="rId25" o:title=""/>
                </v:shape>
              </w:pict>
            </w:r>
            <w:r>
              <w:pict>
                <v:shape id="_x0000_i1059" type="#_x0000_t75" style="height:9pt;width:86.26pt">
                  <v:imagedata r:id="rId26" o:title=""/>
                </v:shape>
              </w:pict>
            </w:r>
            <w:r>
              <w:t>19.7%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D.可利用性、可辨别性和稳定性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38.26pt">
                  <v:imagedata r:id="rId27" o:title=""/>
                </v:shape>
              </w:pict>
            </w:r>
            <w:r>
              <w:pict>
                <v:shape id="_x0000_i1061" type="#_x0000_t75" style="height:9pt;width:68.26pt">
                  <v:imagedata r:id="rId28" o:title=""/>
                </v:shape>
              </w:pict>
            </w:r>
            <w:r>
              <w:t>36.36%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36.36%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