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1.青少年在童年期思维特征以形象思维为主，在青年期以抽象思维为主，这体现了青少年身心发展的( )特点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A.不均衡性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.75pt">
                  <v:imagedata r:id="rId4" o:title=""/>
                </v:shape>
              </w:pict>
            </w:r>
            <w:r>
              <w:pict>
                <v:shape id="_x0000_i1026" type="#_x0000_t75" style="height:9pt;width:99.76pt">
                  <v:imagedata r:id="rId5" o:title=""/>
                </v:shape>
              </w:pict>
            </w:r>
            <w:r>
              <w:t>6.6%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B.阶段性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0.01pt">
                  <v:imagedata r:id="rId6" o:title=""/>
                </v:shape>
              </w:pict>
            </w:r>
            <w:r>
              <w:pict>
                <v:shape id="_x0000_i1028" type="#_x0000_t75" style="height:9pt;width:16.5pt">
                  <v:imagedata r:id="rId7" o:title=""/>
                </v:shape>
              </w:pict>
            </w:r>
            <w:r>
              <w:t>84.91%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pt">
                  <v:imagedata r:id="rId8" o:title=""/>
                </v:shape>
              </w:pict>
            </w:r>
            <w:r>
              <w:pict>
                <v:shape id="_x0000_i1030" type="#_x0000_t75" style="height:9pt;width:97.51pt">
                  <v:imagedata r:id="rId9" o:title=""/>
                </v:shape>
              </w:pict>
            </w:r>
            <w:r>
              <w:t>8.49%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D.个别差异性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2.“其身正，不令而行;其身不正，虽令不从。”说明教师遵守下列哪一条职业道德行为规范的重要性(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A.廉洁从教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.5pt">
                  <v:imagedata r:id="rId11" o:title=""/>
                </v:shape>
              </w:pict>
            </w:r>
            <w:r>
              <w:pict>
                <v:shape id="_x0000_i1033" type="#_x0000_t75" style="height:9pt;width:102.01pt">
                  <v:imagedata r:id="rId12" o:title=""/>
                </v:shape>
              </w:pict>
            </w:r>
            <w:r>
              <w:t>4.72%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B.关爱学生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C.教书育人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D.为人师表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1.26pt">
                  <v:imagedata r:id="rId13" o:title=""/>
                </v:shape>
              </w:pict>
            </w:r>
            <w:r>
              <w:pict>
                <v:shape id="_x0000_i1037" type="#_x0000_t75" style="height:9pt;width:5.25pt">
                  <v:imagedata r:id="rId14" o:title=""/>
                </v:shape>
              </w:pict>
            </w:r>
            <w:r>
              <w:t>95.28%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3.学校德育对政治、经济、文化发生影响的功能即指(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A.发展性功能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15" o:title=""/>
                </v:shape>
              </w:pict>
            </w:r>
            <w:r>
              <w:pict>
                <v:shape id="_x0000_i1039" type="#_x0000_t75" style="height:9pt;width:105.01pt">
                  <v:imagedata r:id="rId16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B.个体性功能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C.教育性功能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.75pt">
                  <v:imagedata r:id="rId17" o:title=""/>
                </v:shape>
              </w:pict>
            </w:r>
            <w:r>
              <w:pict>
                <v:shape id="_x0000_i1042" type="#_x0000_t75" style="height:9pt;width:90.76pt">
                  <v:imagedata r:id="rId18" o:title=""/>
                </v:shape>
              </w:pict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D.社会性功能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7.76pt">
                  <v:imagedata r:id="rId19" o:title=""/>
                </v:shape>
              </w:pict>
            </w:r>
            <w:r>
              <w:pict>
                <v:shape id="_x0000_i1044" type="#_x0000_t75" style="height:9pt;width:18.75pt">
                  <v:imagedata r:id="rId20" o:title=""/>
                </v:shape>
              </w:pict>
            </w:r>
            <w:r>
              <w:t>83.02%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4.反映活动的外表特征和外部联系的知识称为(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A.感性知识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0pt">
                  <v:imagedata r:id="rId21" o:title=""/>
                </v:shape>
              </w:pict>
            </w:r>
            <w:r>
              <w:pict>
                <v:shape id="_x0000_i1046" type="#_x0000_t75" style="height:9pt;width:76.51pt">
                  <v:imagedata r:id="rId22" o:title=""/>
                </v:shape>
              </w:pict>
            </w:r>
            <w:r>
              <w:t>28.3%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B.理性知识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9.75pt">
                  <v:imagedata r:id="rId23" o:title=""/>
                </v:shape>
              </w:pict>
            </w:r>
            <w:r>
              <w:pict>
                <v:shape id="_x0000_i1048" type="#_x0000_t75" style="height:9pt;width:96.76pt">
                  <v:imagedata r:id="rId24" o:title=""/>
                </v:shape>
              </w:pict>
            </w:r>
            <w:r>
              <w:t>9.43%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C.描述性知识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8.76pt">
                  <v:imagedata r:id="rId25" o:title=""/>
                </v:shape>
              </w:pict>
            </w:r>
            <w:r>
              <w:pict>
                <v:shape id="_x0000_i1050" type="#_x0000_t75" style="height:9pt;width:57.76pt">
                  <v:imagedata r:id="rId26" o:title=""/>
                </v:shape>
              </w:pict>
            </w:r>
            <w:r>
              <w:t>46.23%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D.程序性知识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6.5pt">
                  <v:imagedata r:id="rId27" o:title=""/>
                </v:shape>
              </w:pict>
            </w:r>
            <w:r>
              <w:pict>
                <v:shape id="_x0000_i1052" type="#_x0000_t75" style="height:9pt;width:90.01pt">
                  <v:imagedata r:id="rId28" o:title=""/>
                </v:shape>
              </w:pict>
            </w:r>
            <w:r>
              <w:t>16.04%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5.研究表明，表征程序性知识的方式有(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A.命题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5.75pt">
                  <v:imagedata r:id="rId17" o:title=""/>
                </v:shape>
              </w:pict>
            </w:r>
            <w:r>
              <w:pict>
                <v:shape id="_x0000_i1054" type="#_x0000_t75" style="height:9pt;width:90.76pt">
                  <v:imagedata r:id="rId18" o:title=""/>
                </v:shape>
              </w:pict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B.命题网络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1pt">
                  <v:imagedata r:id="rId29" o:title=""/>
                </v:shape>
              </w:pict>
            </w:r>
            <w:r>
              <w:pict>
                <v:shape id="_x0000_i1056" type="#_x0000_t75" style="height:9pt;width:85.51pt">
                  <v:imagedata r:id="rId30" o:title=""/>
                </v:shape>
              </w:pict>
            </w:r>
            <w:r>
              <w:t>19.81%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C.图式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5.01pt">
                  <v:imagedata r:id="rId31" o:title=""/>
                </v:shape>
              </w:pict>
            </w:r>
            <w:r>
              <w:pict>
                <v:shape id="_x0000_i1058" type="#_x0000_t75" style="height:9pt;width:61.51pt">
                  <v:imagedata r:id="rId32" o:title=""/>
                </v:shape>
              </w:pict>
            </w:r>
            <w:r>
              <w:t>42.45%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D.概念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4pt">
                  <v:imagedata r:id="rId33" o:title=""/>
                </v:shape>
              </w:pict>
            </w:r>
            <w:r>
              <w:pict>
                <v:shape id="_x0000_i1060" type="#_x0000_t75" style="height:9pt;width:82.51pt">
                  <v:imagedata r:id="rId34" o:title=""/>
                </v:shape>
              </w:pict>
            </w:r>
            <w:r>
              <w:t>22.64%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